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4A00" w14:textId="730C90B5" w:rsidR="00F15107" w:rsidRPr="009716CD" w:rsidRDefault="00EC0596" w:rsidP="00B52F78">
      <w:pPr>
        <w:tabs>
          <w:tab w:val="left" w:pos="2505"/>
        </w:tabs>
        <w:spacing w:after="0" w:line="240" w:lineRule="auto"/>
        <w:ind w:right="5102"/>
        <w:rPr>
          <w:b/>
        </w:rPr>
      </w:pPr>
      <w:r w:rsidRPr="009716CD">
        <w:rPr>
          <w:noProof/>
          <w:lang w:eastAsia="et-EE"/>
        </w:rPr>
        <w:drawing>
          <wp:anchor distT="0" distB="0" distL="114300" distR="114300" simplePos="0" relativeHeight="251659264" behindDoc="0" locked="0" layoutInCell="0" allowOverlap="1" wp14:anchorId="74FE8EF5" wp14:editId="790AB8D2">
            <wp:simplePos x="0" y="0"/>
            <wp:positionH relativeFrom="page">
              <wp:posOffset>242570</wp:posOffset>
            </wp:positionH>
            <wp:positionV relativeFrom="page">
              <wp:posOffset>423545</wp:posOffset>
            </wp:positionV>
            <wp:extent cx="2944495" cy="955675"/>
            <wp:effectExtent l="0" t="0" r="8255" b="0"/>
            <wp:wrapTopAndBottom/>
            <wp:docPr id="4" name="graphi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4495" cy="955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54BE6" w:rsidRPr="009716CD">
        <w:rPr>
          <w:b/>
        </w:rPr>
        <w:t>TERVIKTEKST</w:t>
      </w:r>
    </w:p>
    <w:p w14:paraId="562DC701" w14:textId="77777777" w:rsidR="00F15107" w:rsidRPr="009716CD" w:rsidRDefault="00F15107" w:rsidP="00B52F78">
      <w:pPr>
        <w:tabs>
          <w:tab w:val="left" w:pos="2505"/>
        </w:tabs>
        <w:spacing w:after="0" w:line="240" w:lineRule="auto"/>
        <w:ind w:right="5102"/>
        <w:rPr>
          <w:b/>
        </w:rPr>
      </w:pPr>
    </w:p>
    <w:p w14:paraId="16C8DC67" w14:textId="77777777" w:rsidR="00EC0596" w:rsidRPr="009716CD" w:rsidRDefault="00EC0596" w:rsidP="00B52F78">
      <w:pPr>
        <w:tabs>
          <w:tab w:val="left" w:pos="2505"/>
        </w:tabs>
        <w:spacing w:after="0" w:line="240" w:lineRule="auto"/>
        <w:ind w:right="5102"/>
        <w:rPr>
          <w:b/>
        </w:rPr>
      </w:pPr>
    </w:p>
    <w:p w14:paraId="6AFC1B47" w14:textId="3967F13D" w:rsidR="00B52F78" w:rsidRPr="009716CD" w:rsidRDefault="00B52F78" w:rsidP="00B52F78">
      <w:pPr>
        <w:tabs>
          <w:tab w:val="left" w:pos="2505"/>
        </w:tabs>
        <w:spacing w:after="0" w:line="240" w:lineRule="auto"/>
        <w:ind w:right="5102"/>
        <w:rPr>
          <w:b/>
        </w:rPr>
      </w:pPr>
      <w:r w:rsidRPr="009716CD">
        <w:rPr>
          <w:b/>
        </w:rPr>
        <w:t>MINISTRI KÄSKKIRI</w:t>
      </w:r>
      <w:r w:rsidR="003A1B97" w:rsidRPr="009716CD">
        <w:rPr>
          <w:b/>
        </w:rPr>
        <w:tab/>
      </w:r>
      <w:r w:rsidR="003A1B97" w:rsidRPr="009716CD">
        <w:rPr>
          <w:b/>
        </w:rPr>
        <w:tab/>
      </w:r>
      <w:r w:rsidR="003A1B97" w:rsidRPr="009716CD">
        <w:rPr>
          <w:b/>
        </w:rPr>
        <w:tab/>
      </w:r>
      <w:r w:rsidR="003A1B97" w:rsidRPr="009716CD">
        <w:rPr>
          <w:b/>
        </w:rPr>
        <w:tab/>
      </w:r>
      <w:r w:rsidR="003A1B97" w:rsidRPr="009716CD">
        <w:rPr>
          <w:b/>
        </w:rPr>
        <w:tab/>
      </w:r>
    </w:p>
    <w:p w14:paraId="0878F4BB" w14:textId="77777777" w:rsidR="00B52F78" w:rsidRPr="009716CD" w:rsidRDefault="00B52F78" w:rsidP="00662BAA">
      <w:pPr>
        <w:spacing w:after="0" w:line="240" w:lineRule="auto"/>
      </w:pPr>
    </w:p>
    <w:p w14:paraId="23514E5A" w14:textId="1513C7C2" w:rsidR="00B52F78" w:rsidRPr="009716CD" w:rsidRDefault="003A1B97" w:rsidP="00662BAA">
      <w:pPr>
        <w:spacing w:after="0" w:line="240" w:lineRule="auto"/>
      </w:pPr>
      <w:r w:rsidRPr="009716CD">
        <w:tab/>
      </w:r>
      <w:r w:rsidRPr="009716CD">
        <w:tab/>
      </w:r>
      <w:r w:rsidRPr="009716CD">
        <w:tab/>
      </w:r>
      <w:r w:rsidRPr="009716CD">
        <w:tab/>
      </w:r>
      <w:r w:rsidRPr="009716CD">
        <w:tab/>
      </w:r>
      <w:r w:rsidRPr="009716CD">
        <w:tab/>
      </w:r>
      <w:r w:rsidRPr="009716CD">
        <w:tab/>
      </w:r>
      <w:r w:rsidRPr="009716CD">
        <w:tab/>
      </w:r>
      <w:r w:rsidRPr="009716CD">
        <w:tab/>
        <w:t xml:space="preserve"> </w:t>
      </w:r>
    </w:p>
    <w:p w14:paraId="4C1BC7DE" w14:textId="198D9687" w:rsidR="00B52F78" w:rsidRPr="009716CD" w:rsidRDefault="00D80380" w:rsidP="00B52F78">
      <w:pPr>
        <w:spacing w:after="0" w:line="240" w:lineRule="auto"/>
        <w:ind w:right="4394"/>
        <w:rPr>
          <w:b/>
          <w:bCs/>
        </w:rPr>
      </w:pPr>
      <w:r w:rsidRPr="009716CD">
        <w:rPr>
          <w:b/>
          <w:bCs/>
        </w:rPr>
        <w:t>„Kohalike omavalitsuste toetamine lõimumise, sealhulgas kohanemise teenuste pakkumisel“</w:t>
      </w:r>
    </w:p>
    <w:p w14:paraId="67D469AB" w14:textId="77777777" w:rsidR="00D80380" w:rsidRPr="009716CD" w:rsidRDefault="00D80380" w:rsidP="00B52F78">
      <w:pPr>
        <w:spacing w:after="0" w:line="240" w:lineRule="auto"/>
        <w:ind w:right="4394"/>
        <w:rPr>
          <w:b/>
          <w:bCs/>
        </w:rPr>
      </w:pPr>
    </w:p>
    <w:p w14:paraId="5F03DA53" w14:textId="21F69E31" w:rsidR="0076766C" w:rsidRPr="009716CD" w:rsidRDefault="0076766C" w:rsidP="00B52F78">
      <w:pPr>
        <w:pStyle w:val="Pealkiri1"/>
      </w:pPr>
      <w:r w:rsidRPr="009716CD">
        <w:t>Reguleerimis- ja kohaldamisala</w:t>
      </w:r>
    </w:p>
    <w:p w14:paraId="10824537" w14:textId="7F6852FF" w:rsidR="00E17FBC" w:rsidRPr="009716CD" w:rsidRDefault="00280042" w:rsidP="00173DCD">
      <w:pPr>
        <w:pStyle w:val="Pealkiri2"/>
      </w:pPr>
      <w:r w:rsidRPr="009716CD">
        <w:t>Toetuse andmise tingimuste</w:t>
      </w:r>
      <w:r w:rsidR="00BB6B19" w:rsidRPr="009716CD">
        <w:t xml:space="preserve"> </w:t>
      </w:r>
      <w:r w:rsidRPr="009716CD">
        <w:t>k</w:t>
      </w:r>
      <w:r w:rsidR="00E17FBC" w:rsidRPr="009716CD">
        <w:t xml:space="preserve">äskkiri </w:t>
      </w:r>
      <w:r w:rsidR="00C80B5F" w:rsidRPr="009716CD">
        <w:t xml:space="preserve">(edaspidi </w:t>
      </w:r>
      <w:r w:rsidR="00C80B5F" w:rsidRPr="009716CD">
        <w:rPr>
          <w:i/>
          <w:iCs/>
        </w:rPr>
        <w:t>TAT</w:t>
      </w:r>
      <w:r w:rsidR="00C80B5F" w:rsidRPr="009716CD">
        <w:t xml:space="preserve">) </w:t>
      </w:r>
      <w:r w:rsidR="00E17FBC" w:rsidRPr="009716CD">
        <w:t xml:space="preserve">kehtestatakse </w:t>
      </w:r>
      <w:bookmarkStart w:id="0" w:name="_Hlk133921589"/>
      <w:r w:rsidR="00E17FBC" w:rsidRPr="009716CD">
        <w:t xml:space="preserve">perioodi 2021–2027 Euroopa Liidu ühtekuuluvus- ja </w:t>
      </w:r>
      <w:proofErr w:type="spellStart"/>
      <w:r w:rsidR="00E17FBC" w:rsidRPr="009716CD">
        <w:t>siseturvalisuspoliitika</w:t>
      </w:r>
      <w:proofErr w:type="spellEnd"/>
      <w:r w:rsidR="00E17FBC" w:rsidRPr="009716CD">
        <w:t xml:space="preserve"> fondide rakendamise seaduse</w:t>
      </w:r>
      <w:r w:rsidR="00B073A0" w:rsidRPr="009716CD">
        <w:t xml:space="preserve"> (edaspidi </w:t>
      </w:r>
      <w:r w:rsidR="00B073A0" w:rsidRPr="009716CD">
        <w:rPr>
          <w:i/>
          <w:iCs/>
        </w:rPr>
        <w:t>ÜSS</w:t>
      </w:r>
      <w:r w:rsidR="00B073A0" w:rsidRPr="009716CD">
        <w:t xml:space="preserve">) </w:t>
      </w:r>
      <w:r w:rsidR="00E17FBC" w:rsidRPr="009716CD">
        <w:t>§ 10 lõigete 2 ja 4 alusel</w:t>
      </w:r>
      <w:bookmarkEnd w:id="0"/>
      <w:r w:rsidR="00E17FBC" w:rsidRPr="009716CD">
        <w:t>.</w:t>
      </w:r>
    </w:p>
    <w:p w14:paraId="1901EE77" w14:textId="304D81D7" w:rsidR="006A138C" w:rsidRPr="009716CD" w:rsidRDefault="006A138C" w:rsidP="00173DCD">
      <w:pPr>
        <w:pStyle w:val="Pealkiri2"/>
        <w:rPr>
          <w:rStyle w:val="Pealkiri2Mrk"/>
        </w:rPr>
      </w:pPr>
      <w:bookmarkStart w:id="1" w:name="_Hlk116560467"/>
      <w:proofErr w:type="spellStart"/>
      <w:r w:rsidRPr="009716CD">
        <w:rPr>
          <w:rStyle w:val="Pealkiri2Mrk"/>
        </w:rPr>
        <w:t>TAT-iga</w:t>
      </w:r>
      <w:proofErr w:type="spellEnd"/>
      <w:r w:rsidRPr="009716CD">
        <w:rPr>
          <w:rStyle w:val="Pealkiri2Mrk"/>
        </w:rPr>
        <w:t xml:space="preserve"> reguleeritakse toetuse andmist ja kasutamist </w:t>
      </w:r>
      <w:proofErr w:type="spellStart"/>
      <w:r w:rsidRPr="009716CD">
        <w:rPr>
          <w:rStyle w:val="Pealkiri2Mrk"/>
        </w:rPr>
        <w:t>ÜSS-i</w:t>
      </w:r>
      <w:proofErr w:type="spellEnd"/>
      <w:r w:rsidRPr="009716CD">
        <w:rPr>
          <w:rStyle w:val="Pealkiri2Mrk"/>
        </w:rPr>
        <w:t xml:space="preserve"> § 1 lõike 1 punktis 1 nimetatud rakenduskava poliitikaeesmärgi 4 „Sotsiaalsem Eesti“ erieesmärgi (h) „Soodustada aktiivset kaasamist, et edendada võrdseid võimalusi, diskrimineerimis-keeldu ja aktiivset osalemist, ning parandada eelkõige ebasoodsas olukorras olevate rühmade tööalast konkurentsivõimet“ ja ühtekuuluvuspoliitika fondide 2021–2027  meetmete nimekirjaga kinnitatud meetme 21.4.7.5 „Lõimumist, sealhulgas kohanemist toetav Eesti“ sekkumise nr 21.4.7.56 „Kohalike omavalitsuste toetamine lõimumise, sealhulgas kohanemise teenuste pakkumisel“ (edaspidi </w:t>
      </w:r>
      <w:r w:rsidRPr="009716CD">
        <w:rPr>
          <w:rStyle w:val="Pealkiri2Mrk"/>
          <w:i/>
          <w:iCs/>
        </w:rPr>
        <w:t>toetatav tegevus</w:t>
      </w:r>
      <w:r w:rsidRPr="009716CD">
        <w:rPr>
          <w:rStyle w:val="Pealkiri2Mrk"/>
        </w:rPr>
        <w:t xml:space="preserve">) raames. </w:t>
      </w:r>
    </w:p>
    <w:p w14:paraId="59DEFBF7" w14:textId="6F63FD3E" w:rsidR="00FE04F0" w:rsidRPr="009716CD" w:rsidRDefault="00B556E3" w:rsidP="00173DCD">
      <w:pPr>
        <w:pStyle w:val="Pealkiri2"/>
        <w:rPr>
          <w:rStyle w:val="Pealkiri3Mrk"/>
          <w:lang w:val="et-EE"/>
        </w:rPr>
      </w:pPr>
      <w:r w:rsidRPr="009716CD">
        <w:t>T</w:t>
      </w:r>
      <w:r w:rsidR="00275DA9" w:rsidRPr="009716CD">
        <w:t xml:space="preserve">oetatav tegevus </w:t>
      </w:r>
      <w:r w:rsidR="00CB4EBF" w:rsidRPr="009716CD">
        <w:t>panusta</w:t>
      </w:r>
      <w:r w:rsidR="00AC62A2" w:rsidRPr="009716CD">
        <w:t>b</w:t>
      </w:r>
      <w:r w:rsidRPr="009716CD">
        <w:t xml:space="preserve"> </w:t>
      </w:r>
      <w:r w:rsidR="00461650" w:rsidRPr="009716CD">
        <w:t>Riigikogu otsuse „Riigi pika</w:t>
      </w:r>
      <w:r w:rsidR="00D0270D" w:rsidRPr="009716CD">
        <w:t>a</w:t>
      </w:r>
      <w:r w:rsidR="00461650" w:rsidRPr="009716CD">
        <w:t>jalise arengustrateegia „Eesti 2035“</w:t>
      </w:r>
      <w:r w:rsidR="00FE1AD3" w:rsidRPr="009716CD">
        <w:rPr>
          <w:rStyle w:val="Allmrkuseviide"/>
        </w:rPr>
        <w:footnoteReference w:id="1"/>
      </w:r>
      <w:r w:rsidR="00461650" w:rsidRPr="009716CD">
        <w:t xml:space="preserve"> heakskiitmine“ </w:t>
      </w:r>
      <w:bookmarkStart w:id="2" w:name="_Hlk116560443"/>
      <w:r w:rsidR="00E14233" w:rsidRPr="009716CD">
        <w:t>sihi „Arukas, tegus ja tervist hoidev inimene“ alasihti „Tegus inimene“</w:t>
      </w:r>
      <w:bookmarkEnd w:id="2"/>
      <w:r w:rsidRPr="009716CD">
        <w:t>,</w:t>
      </w:r>
      <w:bookmarkEnd w:id="1"/>
      <w:r w:rsidRPr="009716CD">
        <w:t xml:space="preserve"> </w:t>
      </w:r>
      <w:r w:rsidR="00373621" w:rsidRPr="009716CD">
        <w:t>valdkondliku arengukava „</w:t>
      </w:r>
      <w:r w:rsidR="00412062" w:rsidRPr="009716CD">
        <w:t>Sidus Eesti 2021–2030</w:t>
      </w:r>
      <w:r w:rsidR="00373621" w:rsidRPr="009716CD">
        <w:t>“</w:t>
      </w:r>
      <w:r w:rsidR="00FE1AD3" w:rsidRPr="009716CD">
        <w:rPr>
          <w:rStyle w:val="Allmrkuseviide"/>
        </w:rPr>
        <w:footnoteReference w:id="2"/>
      </w:r>
      <w:r w:rsidR="00373621" w:rsidRPr="009716CD">
        <w:t xml:space="preserve"> alaeesmär</w:t>
      </w:r>
      <w:r w:rsidRPr="009716CD">
        <w:t>k</w:t>
      </w:r>
      <w:r w:rsidR="00373621" w:rsidRPr="009716CD">
        <w:t>i „Kohanemist ja lõimumist toetav Eesti“</w:t>
      </w:r>
      <w:r w:rsidRPr="009716CD">
        <w:t xml:space="preserve">, </w:t>
      </w:r>
      <w:r w:rsidR="00FE04F0" w:rsidRPr="009716CD">
        <w:rPr>
          <w:rStyle w:val="Pealkiri3Mrk"/>
          <w:lang w:val="et-EE"/>
        </w:rPr>
        <w:t xml:space="preserve">tulemusvaldkonna „Sidus ühiskond“ programmi </w:t>
      </w:r>
      <w:r w:rsidR="00412062" w:rsidRPr="009716CD">
        <w:rPr>
          <w:bCs/>
        </w:rPr>
        <w:t>„Lõimumis</w:t>
      </w:r>
      <w:r w:rsidR="00412062" w:rsidRPr="009716CD">
        <w:rPr>
          <w:bCs/>
        </w:rPr>
        <w:noBreakHyphen/>
        <w:t xml:space="preserve">, sealhulgas kohanemisprogramm“ meetme „Lõimumist, sealhulgas kohanemist toetav Eesti“ </w:t>
      </w:r>
      <w:r w:rsidR="00FE04F0" w:rsidRPr="009716CD">
        <w:rPr>
          <w:rStyle w:val="Pealkiri3Mrk"/>
          <w:lang w:val="et-EE"/>
        </w:rPr>
        <w:t>tegevuse „Lõimumis</w:t>
      </w:r>
      <w:r w:rsidR="00412062" w:rsidRPr="009716CD">
        <w:rPr>
          <w:rStyle w:val="Pealkiri3Mrk"/>
          <w:lang w:val="et-EE"/>
        </w:rPr>
        <w:t>-</w:t>
      </w:r>
      <w:r w:rsidR="00EC0596" w:rsidRPr="009716CD">
        <w:rPr>
          <w:rStyle w:val="Pealkiri3Mrk"/>
          <w:lang w:val="et-EE"/>
        </w:rPr>
        <w:t xml:space="preserve">, </w:t>
      </w:r>
      <w:r w:rsidR="00F7625F" w:rsidRPr="009716CD">
        <w:rPr>
          <w:rStyle w:val="Pealkiri3Mrk"/>
          <w:lang w:val="et-EE"/>
        </w:rPr>
        <w:t>sealhulgas</w:t>
      </w:r>
      <w:r w:rsidR="00FE04F0" w:rsidRPr="009716CD">
        <w:rPr>
          <w:rStyle w:val="Pealkiri3Mrk"/>
          <w:lang w:val="et-EE"/>
        </w:rPr>
        <w:t xml:space="preserve"> kohanemispoliitika kujundamine ja rakendamine“ </w:t>
      </w:r>
      <w:bookmarkStart w:id="3" w:name="_Hlk113538732"/>
      <w:r w:rsidR="00FE04F0" w:rsidRPr="009716CD">
        <w:rPr>
          <w:rStyle w:val="Pealkiri3Mrk"/>
          <w:lang w:val="et-EE"/>
        </w:rPr>
        <w:t>teenuse</w:t>
      </w:r>
      <w:r w:rsidRPr="009716CD">
        <w:rPr>
          <w:rStyle w:val="Pealkiri3Mrk"/>
          <w:lang w:val="et-EE"/>
        </w:rPr>
        <w:t>sse</w:t>
      </w:r>
      <w:r w:rsidR="00A97BE5" w:rsidRPr="009716CD">
        <w:rPr>
          <w:rStyle w:val="Pealkiri3Mrk"/>
          <w:lang w:val="et-EE"/>
        </w:rPr>
        <w:t xml:space="preserve"> „</w:t>
      </w:r>
      <w:r w:rsidR="009F4C95" w:rsidRPr="009716CD">
        <w:rPr>
          <w:rStyle w:val="Pealkiri3Mrk"/>
          <w:lang w:val="et-EE"/>
        </w:rPr>
        <w:t>Kohaliku tasandi toetamine ja sektoriüleste partnerlussuhete arendamine“</w:t>
      </w:r>
      <w:bookmarkEnd w:id="3"/>
      <w:r w:rsidR="000F0CF2" w:rsidRPr="009716CD">
        <w:rPr>
          <w:rStyle w:val="Pealkiri3Mrk"/>
          <w:lang w:val="et-EE"/>
        </w:rPr>
        <w:t>.</w:t>
      </w:r>
    </w:p>
    <w:p w14:paraId="79021D87" w14:textId="19B4F8C5" w:rsidR="00FB3195" w:rsidRPr="009716CD" w:rsidRDefault="00FB3195" w:rsidP="00173DCD">
      <w:pPr>
        <w:pStyle w:val="Pealkiri2"/>
      </w:pPr>
      <w:r w:rsidRPr="009716CD">
        <w:t xml:space="preserve">Toetuse andmise eesmärk </w:t>
      </w:r>
      <w:bookmarkStart w:id="4" w:name="_Hlk116562360"/>
      <w:r w:rsidRPr="009716CD">
        <w:t xml:space="preserve">on </w:t>
      </w:r>
      <w:r w:rsidR="009F4C95" w:rsidRPr="009716CD">
        <w:t>suurendada kohalike omavalitsuste</w:t>
      </w:r>
      <w:r w:rsidR="007A1757" w:rsidRPr="009716CD">
        <w:t xml:space="preserve"> (edaspidi </w:t>
      </w:r>
      <w:r w:rsidR="007A1757" w:rsidRPr="009716CD">
        <w:rPr>
          <w:i/>
          <w:iCs/>
        </w:rPr>
        <w:t>KOV</w:t>
      </w:r>
      <w:r w:rsidR="007A1757" w:rsidRPr="009716CD">
        <w:t>)</w:t>
      </w:r>
      <w:r w:rsidR="009F4C95" w:rsidRPr="009716CD">
        <w:t xml:space="preserve"> suutlikkust pakkuda tulemuslikult </w:t>
      </w:r>
      <w:r w:rsidR="00CF0A55" w:rsidRPr="009716CD">
        <w:t xml:space="preserve">lõimumise, sealhulgas kohanemise </w:t>
      </w:r>
      <w:r w:rsidR="009F4C95" w:rsidRPr="009716CD">
        <w:t>teenuseid</w:t>
      </w:r>
      <w:r w:rsidR="006456FC" w:rsidRPr="009716CD">
        <w:t xml:space="preserve"> uussisserändajatele,</w:t>
      </w:r>
      <w:r w:rsidR="007C4A2A" w:rsidRPr="009716CD">
        <w:t xml:space="preserve"> </w:t>
      </w:r>
      <w:bookmarkStart w:id="5" w:name="_Hlk116560769"/>
      <w:r w:rsidR="007C4A2A" w:rsidRPr="009716CD">
        <w:t>eri</w:t>
      </w:r>
      <w:r w:rsidR="006456FC" w:rsidRPr="009716CD">
        <w:t>neva</w:t>
      </w:r>
      <w:r w:rsidR="007C4A2A" w:rsidRPr="009716CD">
        <w:t xml:space="preserve"> keele- ja kultuuritaustaga inimestele</w:t>
      </w:r>
      <w:r w:rsidR="006456FC" w:rsidRPr="009716CD">
        <w:t xml:space="preserve"> </w:t>
      </w:r>
      <w:r w:rsidR="007C4A2A" w:rsidRPr="009716CD">
        <w:t xml:space="preserve">ja </w:t>
      </w:r>
      <w:proofErr w:type="spellStart"/>
      <w:r w:rsidR="00247F15" w:rsidRPr="009716CD">
        <w:t>tagasipöördujatele</w:t>
      </w:r>
      <w:proofErr w:type="spellEnd"/>
      <w:r w:rsidR="007C4A2A" w:rsidRPr="009716CD">
        <w:t>.</w:t>
      </w:r>
    </w:p>
    <w:bookmarkEnd w:id="4"/>
    <w:bookmarkEnd w:id="5"/>
    <w:p w14:paraId="15960744" w14:textId="415369BC" w:rsidR="00890EF8" w:rsidRPr="009716CD" w:rsidRDefault="00B45641" w:rsidP="00173DCD">
      <w:pPr>
        <w:pStyle w:val="Pealkiri2"/>
      </w:pPr>
      <w:r w:rsidRPr="009716CD">
        <w:t xml:space="preserve">Toetatava tegevuse elluviimisega seotud kulude hüvitamine ei ole riigiabi Euroopa Liidu toimimise lepingu artikli 107 lõike 1 mõistes. </w:t>
      </w:r>
    </w:p>
    <w:p w14:paraId="41A20AE6" w14:textId="32085023" w:rsidR="00BF6CF6" w:rsidRPr="009716CD" w:rsidRDefault="00BF6CF6" w:rsidP="00173DCD">
      <w:pPr>
        <w:pStyle w:val="Pealkiri2"/>
      </w:pPr>
      <w:r w:rsidRPr="009716CD">
        <w:t xml:space="preserve">Toetatav tegevus on kooskõlas </w:t>
      </w:r>
      <w:r w:rsidR="00661021" w:rsidRPr="009716CD">
        <w:t xml:space="preserve">„ei kahjusta oluliselt“ </w:t>
      </w:r>
      <w:r w:rsidR="00162448" w:rsidRPr="009716CD">
        <w:t>põhimõttega</w:t>
      </w:r>
      <w:r w:rsidR="005F71E9" w:rsidRPr="009716CD">
        <w:t>,</w:t>
      </w:r>
      <w:r w:rsidR="00661021" w:rsidRPr="009716CD">
        <w:t xml:space="preserve"> lähtu</w:t>
      </w:r>
      <w:r w:rsidR="00193CAB" w:rsidRPr="009716CD">
        <w:t>des</w:t>
      </w:r>
      <w:r w:rsidR="00661021" w:rsidRPr="009716CD">
        <w:t xml:space="preserve"> Euroopa Parlamendi ja </w:t>
      </w:r>
      <w:r w:rsidR="00DB2379" w:rsidRPr="009716CD">
        <w:t>n</w:t>
      </w:r>
      <w:r w:rsidR="00661021" w:rsidRPr="009716CD">
        <w:t>õukogu määruse</w:t>
      </w:r>
      <w:r w:rsidR="00193CAB" w:rsidRPr="009716CD">
        <w:t>st</w:t>
      </w:r>
      <w:r w:rsidR="00661021" w:rsidRPr="009716CD">
        <w:t xml:space="preserve"> (EL) 2020/852, millega kehtestatakse kestlike investeeringute hõlbustamise raamistik ja muudetakse määrust (EL) 2019/2088 (</w:t>
      </w:r>
      <w:r w:rsidR="00C27D40" w:rsidRPr="009716CD">
        <w:t>ELT</w:t>
      </w:r>
      <w:r w:rsidR="00661021" w:rsidRPr="009716CD">
        <w:t xml:space="preserve"> L</w:t>
      </w:r>
      <w:r w:rsidR="00EC0596" w:rsidRPr="009716CD">
        <w:t> </w:t>
      </w:r>
      <w:r w:rsidR="00661021" w:rsidRPr="009716CD">
        <w:t>198, 22.6.2020, lk 13–43) artikkel 17 tähenduses.</w:t>
      </w:r>
    </w:p>
    <w:p w14:paraId="5CDB089A" w14:textId="78E32831" w:rsidR="0045660B" w:rsidRPr="009716CD" w:rsidRDefault="00B4387F" w:rsidP="00173DCD">
      <w:pPr>
        <w:pStyle w:val="Pealkiri2"/>
      </w:pPr>
      <w:r w:rsidRPr="009716CD">
        <w:t xml:space="preserve">Toetatava tegevuse kavandamisel ja elluviimisel järgitakse Euroopa Parlamendi ja nõukogu määruse (EL) nr 2021/1060 artiklis 9 nimetatud horisontaalseid põhimõtteid ja </w:t>
      </w:r>
      <w:r w:rsidR="005F71E9" w:rsidRPr="009716CD">
        <w:t xml:space="preserve">arengustrateegias </w:t>
      </w:r>
      <w:r w:rsidRPr="009716CD">
        <w:t xml:space="preserve">„Eesti 2035“ nimetatud aluspõhimõtteid. Toetatava tegevuse panust </w:t>
      </w:r>
      <w:r w:rsidRPr="009716CD">
        <w:lastRenderedPageBreak/>
        <w:t xml:space="preserve">regionaalselt tasakaalustatud arengusse mõõdetakse </w:t>
      </w:r>
      <w:r w:rsidR="005F71E9" w:rsidRPr="009716CD">
        <w:t>„</w:t>
      </w:r>
      <w:r w:rsidRPr="009716CD">
        <w:t>E</w:t>
      </w:r>
      <w:r w:rsidR="00DB2379" w:rsidRPr="009716CD">
        <w:t xml:space="preserve">esti </w:t>
      </w:r>
      <w:r w:rsidRPr="009716CD">
        <w:t>2035</w:t>
      </w:r>
      <w:r w:rsidR="005F71E9" w:rsidRPr="009716CD">
        <w:t>“</w:t>
      </w:r>
      <w:r w:rsidRPr="009716CD">
        <w:t xml:space="preserve"> näitajaga </w:t>
      </w:r>
      <w:r w:rsidR="005F71E9" w:rsidRPr="009716CD">
        <w:t>„</w:t>
      </w:r>
      <w:r w:rsidRPr="009716CD">
        <w:t>Tööjõus osalemise määr 15</w:t>
      </w:r>
      <w:r w:rsidR="005F71E9" w:rsidRPr="009716CD">
        <w:t>–</w:t>
      </w:r>
      <w:r w:rsidRPr="009716CD">
        <w:t>74</w:t>
      </w:r>
      <w:r w:rsidR="005F71E9" w:rsidRPr="009716CD">
        <w:t xml:space="preserve"> </w:t>
      </w:r>
      <w:r w:rsidRPr="009716CD">
        <w:t>a</w:t>
      </w:r>
      <w:r w:rsidR="005F71E9" w:rsidRPr="009716CD">
        <w:t>“</w:t>
      </w:r>
      <w:r w:rsidRPr="009716CD">
        <w:t xml:space="preserve">, panust soolise võrdõiguslikkuse edendamisse näitajaga </w:t>
      </w:r>
      <w:r w:rsidR="005F71E9" w:rsidRPr="009716CD">
        <w:t>„</w:t>
      </w:r>
      <w:r w:rsidRPr="009716CD">
        <w:t>Soolise võrdõiguslikkuse indeks</w:t>
      </w:r>
      <w:r w:rsidR="005F71E9" w:rsidRPr="009716CD">
        <w:t>“</w:t>
      </w:r>
      <w:r w:rsidRPr="009716CD">
        <w:t xml:space="preserve">, panust võrdsete võimaluste edendamisse näitajaga </w:t>
      </w:r>
      <w:r w:rsidR="005F71E9" w:rsidRPr="009716CD">
        <w:t>„</w:t>
      </w:r>
      <w:r w:rsidRPr="009716CD">
        <w:t>Hoolivuse ja koostöömeelsuse mõõdik</w:t>
      </w:r>
      <w:r w:rsidR="005F71E9" w:rsidRPr="009716CD">
        <w:t>“</w:t>
      </w:r>
      <w:r w:rsidRPr="009716CD">
        <w:t xml:space="preserve"> ja panust ligipääsetavuse tagamisse näitajaga </w:t>
      </w:r>
      <w:r w:rsidR="005F71E9" w:rsidRPr="009716CD">
        <w:t>„</w:t>
      </w:r>
      <w:r w:rsidRPr="009716CD">
        <w:t>Ligipääsetavuse näitaja</w:t>
      </w:r>
      <w:r w:rsidR="00456C4C" w:rsidRPr="009716CD">
        <w:t>“</w:t>
      </w:r>
      <w:r w:rsidRPr="009716CD">
        <w:t>.</w:t>
      </w:r>
    </w:p>
    <w:p w14:paraId="28638137" w14:textId="6E9A54E1" w:rsidR="0049590F" w:rsidRPr="009716CD" w:rsidRDefault="0049590F" w:rsidP="00173DCD">
      <w:pPr>
        <w:pStyle w:val="Pealkiri2"/>
      </w:pPr>
      <w:r w:rsidRPr="009716CD">
        <w:t xml:space="preserve">Vabariigi Valitsuse 12. mai 2022. a määruse nr 54 „Perioodi 2021–2027 ühtekuuluvus- ja </w:t>
      </w:r>
      <w:proofErr w:type="spellStart"/>
      <w:r w:rsidRPr="009716CD">
        <w:t>siseturvalisuspoliitika</w:t>
      </w:r>
      <w:proofErr w:type="spellEnd"/>
      <w:r w:rsidRPr="009716CD">
        <w:t xml:space="preserve"> fondide vahendite andmisest avalikkuse teavitamine“</w:t>
      </w:r>
      <w:r w:rsidR="008E1A01" w:rsidRPr="009716CD">
        <w:t xml:space="preserve"> (edaspidi </w:t>
      </w:r>
      <w:r w:rsidR="008E1A01" w:rsidRPr="009716CD">
        <w:rPr>
          <w:i/>
          <w:iCs/>
        </w:rPr>
        <w:t>teavitamise määrus</w:t>
      </w:r>
      <w:r w:rsidR="008E1A01" w:rsidRPr="009716CD">
        <w:t>)</w:t>
      </w:r>
      <w:r w:rsidR="00E25BD7" w:rsidRPr="009716CD">
        <w:t xml:space="preserve"> </w:t>
      </w:r>
      <w:r w:rsidRPr="009716CD">
        <w:t xml:space="preserve">tähenduses on projekti </w:t>
      </w:r>
      <w:r w:rsidR="00D00EA3" w:rsidRPr="009716CD">
        <w:t>pealkiri</w:t>
      </w:r>
      <w:r w:rsidRPr="009716CD">
        <w:t xml:space="preserve"> „</w:t>
      </w:r>
      <w:r w:rsidR="00D54A03" w:rsidRPr="009716CD">
        <w:t>Kohalike omavalitsuste toetamine lõimumise, sealhulgas kohanemise teenuste pakkumisel</w:t>
      </w:r>
      <w:r w:rsidRPr="009716CD">
        <w:t>“.</w:t>
      </w:r>
    </w:p>
    <w:p w14:paraId="061478EC" w14:textId="77777777" w:rsidR="00445F04" w:rsidRPr="009716CD" w:rsidRDefault="00445F04" w:rsidP="00B52F78">
      <w:pPr>
        <w:pStyle w:val="Pealkiri1"/>
      </w:pPr>
      <w:r w:rsidRPr="009716CD">
        <w:t>Terminid</w:t>
      </w:r>
    </w:p>
    <w:p w14:paraId="5B2E78E4" w14:textId="302A8A24" w:rsidR="00AD41E1" w:rsidRPr="009716CD" w:rsidRDefault="00661021" w:rsidP="00173DCD">
      <w:pPr>
        <w:pStyle w:val="Pealkiri2"/>
      </w:pPr>
      <w:bookmarkStart w:id="6" w:name="_Hlk103334481"/>
      <w:r w:rsidRPr="009716CD">
        <w:t xml:space="preserve">Uussisserändaja </w:t>
      </w:r>
      <w:r w:rsidR="00AD41E1" w:rsidRPr="009716CD">
        <w:t xml:space="preserve">on </w:t>
      </w:r>
      <w:r w:rsidR="001F08A7" w:rsidRPr="009716CD">
        <w:t>vähem kui viis aastat Eestis seaduslikult elanud:</w:t>
      </w:r>
    </w:p>
    <w:p w14:paraId="6B0266D6" w14:textId="044E0902" w:rsidR="001F08A7" w:rsidRPr="009716CD" w:rsidRDefault="001F08A7" w:rsidP="00FE1AE3">
      <w:pPr>
        <w:pStyle w:val="Pealkiri3"/>
        <w:rPr>
          <w:lang w:val="et-EE"/>
        </w:rPr>
      </w:pPr>
      <w:r w:rsidRPr="009716CD">
        <w:rPr>
          <w:lang w:val="et-EE"/>
        </w:rPr>
        <w:t>välismaalane, kellele on antud Eesti tähtajaline elamisluba välismaalaste seaduses või välismaalase</w:t>
      </w:r>
      <w:r w:rsidR="00152B35" w:rsidRPr="009716CD">
        <w:rPr>
          <w:lang w:val="et-EE"/>
        </w:rPr>
        <w:t>le</w:t>
      </w:r>
      <w:r w:rsidRPr="009716CD">
        <w:rPr>
          <w:lang w:val="et-EE"/>
        </w:rPr>
        <w:t xml:space="preserve"> rahvusvahelise kaitse andmise seaduses sätestatud alustel;</w:t>
      </w:r>
    </w:p>
    <w:p w14:paraId="1E0DCA0D" w14:textId="6DE320F5" w:rsidR="001F08A7" w:rsidRPr="009716CD" w:rsidRDefault="001F08A7" w:rsidP="00FE1AE3">
      <w:pPr>
        <w:pStyle w:val="Pealkiri3"/>
        <w:rPr>
          <w:lang w:val="et-EE"/>
        </w:rPr>
      </w:pPr>
      <w:r w:rsidRPr="009716CD">
        <w:rPr>
          <w:lang w:val="et-EE"/>
        </w:rPr>
        <w:t>Euroopa Liidu kodanik, kes on omandanud Eestis tähtajalise elamisõiguse Euroopa Liidu kodaniku seaduses sätestatud alusel;</w:t>
      </w:r>
    </w:p>
    <w:p w14:paraId="17B71F56" w14:textId="0E026576" w:rsidR="001F08A7" w:rsidRPr="009716CD" w:rsidRDefault="001F08A7" w:rsidP="00FE1AE3">
      <w:pPr>
        <w:pStyle w:val="Pealkiri3"/>
        <w:rPr>
          <w:lang w:val="et-EE"/>
        </w:rPr>
      </w:pPr>
      <w:r w:rsidRPr="009716CD">
        <w:rPr>
          <w:lang w:val="et-EE"/>
        </w:rPr>
        <w:t>Euroopa Liidu kodaniku perekonnaliige, kellele on antud Eestis tähtajaline elamisõigus Euroopa Liidu kodaniku seaduses sätestatud alusel.</w:t>
      </w:r>
    </w:p>
    <w:p w14:paraId="5B6CD6B9" w14:textId="730020CB" w:rsidR="00F75CBD" w:rsidRPr="009716CD" w:rsidRDefault="00C806A7" w:rsidP="00173DCD">
      <w:pPr>
        <w:pStyle w:val="Pealkiri2"/>
      </w:pPr>
      <w:r w:rsidRPr="009716CD">
        <w:t>E</w:t>
      </w:r>
      <w:r w:rsidR="003C1178" w:rsidRPr="009716CD">
        <w:t>ri</w:t>
      </w:r>
      <w:r w:rsidR="006456FC" w:rsidRPr="009716CD">
        <w:t>neva</w:t>
      </w:r>
      <w:r w:rsidR="003C1178" w:rsidRPr="009716CD">
        <w:t xml:space="preserve"> keele</w:t>
      </w:r>
      <w:r w:rsidR="00DA48B7" w:rsidRPr="009716CD">
        <w:t>-</w:t>
      </w:r>
      <w:r w:rsidR="003C1178" w:rsidRPr="009716CD">
        <w:t xml:space="preserve"> ja kultuuritaustaga inime</w:t>
      </w:r>
      <w:r w:rsidR="00961D58" w:rsidRPr="009716CD">
        <w:t>ne</w:t>
      </w:r>
      <w:r w:rsidR="00DC0240" w:rsidRPr="009716CD">
        <w:t xml:space="preserve"> </w:t>
      </w:r>
      <w:bookmarkEnd w:id="6"/>
      <w:r w:rsidRPr="009716CD">
        <w:t xml:space="preserve">on </w:t>
      </w:r>
      <w:r w:rsidR="001A4F44" w:rsidRPr="009716CD">
        <w:t>üle viie aasta Eestis seaduslik</w:t>
      </w:r>
      <w:r w:rsidR="00487FFD" w:rsidRPr="009716CD">
        <w:t>u</w:t>
      </w:r>
      <w:r w:rsidR="001A4F44" w:rsidRPr="009716CD">
        <w:t>l alusel viib</w:t>
      </w:r>
      <w:r w:rsidR="00487FFD" w:rsidRPr="009716CD">
        <w:t xml:space="preserve">iv </w:t>
      </w:r>
      <w:r w:rsidR="001A4F44" w:rsidRPr="009716CD">
        <w:t xml:space="preserve">isik, kes on </w:t>
      </w:r>
      <w:r w:rsidR="00514975" w:rsidRPr="009716CD">
        <w:t xml:space="preserve">saanud </w:t>
      </w:r>
      <w:r w:rsidR="001A4F44" w:rsidRPr="009716CD">
        <w:t xml:space="preserve">Eesti kodakondsuse naturalisatsiooni korras, </w:t>
      </w:r>
      <w:r w:rsidR="00661021" w:rsidRPr="009716CD">
        <w:t xml:space="preserve">on määratlemata </w:t>
      </w:r>
      <w:r w:rsidR="001A4F44" w:rsidRPr="009716CD">
        <w:t>või muu riigi kodakondsusega.</w:t>
      </w:r>
    </w:p>
    <w:p w14:paraId="0EA1B7D4" w14:textId="10C065EA" w:rsidR="00972217" w:rsidRPr="009716CD" w:rsidRDefault="00972217" w:rsidP="00173DCD">
      <w:pPr>
        <w:pStyle w:val="Pealkiri2"/>
      </w:pPr>
      <w:proofErr w:type="spellStart"/>
      <w:r w:rsidRPr="009716CD">
        <w:t>Tagasipöörduja</w:t>
      </w:r>
      <w:proofErr w:type="spellEnd"/>
      <w:r w:rsidRPr="009716CD">
        <w:t xml:space="preserve"> on Eesti kodakondsust omav täiskasvanud isik, kes on Eestisse püsivalt naasnud viimase </w:t>
      </w:r>
      <w:r w:rsidR="00D4253F" w:rsidRPr="009716CD">
        <w:t>kaheksa</w:t>
      </w:r>
      <w:r w:rsidRPr="009716CD">
        <w:t xml:space="preserve"> kuu jooksul ja oma elukoha registreerinud Eesti rahvastikuregistris.</w:t>
      </w:r>
    </w:p>
    <w:p w14:paraId="51966D2A" w14:textId="5FA8DCC5" w:rsidR="00B40F29" w:rsidRPr="009716CD" w:rsidRDefault="00B40F29" w:rsidP="00173DCD">
      <w:pPr>
        <w:pStyle w:val="Pealkiri2"/>
      </w:pPr>
      <w:r w:rsidRPr="009716CD">
        <w:t xml:space="preserve">Sidusrühm on </w:t>
      </w:r>
      <w:r w:rsidR="0033007D" w:rsidRPr="009716CD">
        <w:t>lõimumis</w:t>
      </w:r>
      <w:r w:rsidR="00CB66A6" w:rsidRPr="009716CD">
        <w:t>-, s</w:t>
      </w:r>
      <w:r w:rsidR="001F1B6E" w:rsidRPr="009716CD">
        <w:t>eal</w:t>
      </w:r>
      <w:r w:rsidR="00CB66A6" w:rsidRPr="009716CD">
        <w:t>h</w:t>
      </w:r>
      <w:r w:rsidR="001F1B6E" w:rsidRPr="009716CD">
        <w:t>ulgas</w:t>
      </w:r>
      <w:r w:rsidR="00CB66A6" w:rsidRPr="009716CD">
        <w:t xml:space="preserve"> kohanemis</w:t>
      </w:r>
      <w:r w:rsidR="0033007D" w:rsidRPr="009716CD">
        <w:t xml:space="preserve">teenuse pakkuja, </w:t>
      </w:r>
      <w:r w:rsidR="00692666" w:rsidRPr="009716CD">
        <w:t>poliitikakujundaja,</w:t>
      </w:r>
      <w:r w:rsidRPr="009716CD">
        <w:t xml:space="preserve"> </w:t>
      </w:r>
      <w:r w:rsidR="0033007D" w:rsidRPr="009716CD">
        <w:t xml:space="preserve">valdkondlik </w:t>
      </w:r>
      <w:r w:rsidRPr="009716CD">
        <w:t>eksper</w:t>
      </w:r>
      <w:r w:rsidR="005A67CA" w:rsidRPr="009716CD">
        <w:t>t</w:t>
      </w:r>
      <w:r w:rsidRPr="009716CD">
        <w:t>, tööandja, nõustaja, organisatsiooni esindaja, ülikool j</w:t>
      </w:r>
      <w:r w:rsidR="00E57B4C" w:rsidRPr="009716CD">
        <w:t xml:space="preserve">a </w:t>
      </w:r>
      <w:r w:rsidRPr="009716CD">
        <w:t>asutus, mis</w:t>
      </w:r>
      <w:r w:rsidR="001F1B6E" w:rsidRPr="009716CD">
        <w:t xml:space="preserve"> tegutse</w:t>
      </w:r>
      <w:r w:rsidR="005A67CA" w:rsidRPr="009716CD">
        <w:t>b</w:t>
      </w:r>
      <w:r w:rsidR="001F1B6E" w:rsidRPr="009716CD">
        <w:t xml:space="preserve"> rände-, lõimumis-, sealhulgas kohanemisvaldkonnas.</w:t>
      </w:r>
      <w:r w:rsidRPr="009716CD">
        <w:t xml:space="preserve"> </w:t>
      </w:r>
    </w:p>
    <w:p w14:paraId="3C076491" w14:textId="1F66913D" w:rsidR="00F60DB3" w:rsidRPr="009716CD" w:rsidRDefault="00F60DB3" w:rsidP="00B52F78">
      <w:pPr>
        <w:pStyle w:val="Pealkiri1"/>
      </w:pPr>
      <w:r w:rsidRPr="009716CD">
        <w:t>Toetatav tegevus</w:t>
      </w:r>
      <w:r w:rsidR="00687E14" w:rsidRPr="009716CD">
        <w:t>, rakendusüksus ja rakendusasutus, elluviija ja partner</w:t>
      </w:r>
    </w:p>
    <w:p w14:paraId="14C93B97" w14:textId="1BD0BC6D" w:rsidR="00F71DB3" w:rsidRPr="009716CD" w:rsidRDefault="00F71DB3" w:rsidP="00173DCD">
      <w:pPr>
        <w:pStyle w:val="Pealkiri2"/>
        <w:rPr>
          <w:bCs/>
          <w:lang w:eastAsia="en-US"/>
        </w:rPr>
      </w:pPr>
      <w:r w:rsidRPr="009716CD">
        <w:t>Kohalike omavalitsuste toetamine lõimumise, sealhulgas kohanemise teenuste pakkumisel</w:t>
      </w:r>
      <w:r w:rsidR="00F26FCC" w:rsidRPr="009716CD">
        <w:t>.</w:t>
      </w:r>
      <w:r w:rsidRPr="009716CD">
        <w:t xml:space="preserve"> </w:t>
      </w:r>
    </w:p>
    <w:p w14:paraId="7BE43FA4" w14:textId="2806CC8E" w:rsidR="00562645" w:rsidRPr="009716CD" w:rsidRDefault="00562645" w:rsidP="00173DCD">
      <w:pPr>
        <w:pStyle w:val="Pealkiri2"/>
      </w:pPr>
      <w:r w:rsidRPr="009716CD">
        <w:t>Rakendusüksus ja rakendusasutus</w:t>
      </w:r>
      <w:r w:rsidR="00434823" w:rsidRPr="009716CD">
        <w:t>.</w:t>
      </w:r>
      <w:r w:rsidRPr="009716CD">
        <w:t xml:space="preserve"> </w:t>
      </w:r>
    </w:p>
    <w:p w14:paraId="7E6A7760" w14:textId="39EBF099" w:rsidR="00562645" w:rsidRPr="009716CD" w:rsidRDefault="00562645" w:rsidP="00FE1AE3">
      <w:pPr>
        <w:pStyle w:val="Pealkiri3"/>
        <w:rPr>
          <w:lang w:val="et-EE"/>
        </w:rPr>
      </w:pPr>
      <w:r w:rsidRPr="009716CD">
        <w:rPr>
          <w:lang w:val="et-EE"/>
        </w:rPr>
        <w:t xml:space="preserve">Toetatava tegevuse rakendusasutus on Kultuuriministeerium (edaspidi </w:t>
      </w:r>
      <w:r w:rsidRPr="009716CD">
        <w:rPr>
          <w:i/>
          <w:iCs/>
          <w:lang w:val="et-EE"/>
        </w:rPr>
        <w:t>rakendusasutus</w:t>
      </w:r>
      <w:r w:rsidRPr="009716CD">
        <w:rPr>
          <w:lang w:val="et-EE"/>
        </w:rPr>
        <w:t>).</w:t>
      </w:r>
    </w:p>
    <w:p w14:paraId="5572A75E" w14:textId="29721CD1" w:rsidR="00562645" w:rsidRPr="009716CD" w:rsidRDefault="00562645" w:rsidP="00FE1AE3">
      <w:pPr>
        <w:pStyle w:val="Pealkiri3"/>
        <w:rPr>
          <w:lang w:val="et-EE"/>
        </w:rPr>
      </w:pPr>
      <w:r w:rsidRPr="009716CD">
        <w:rPr>
          <w:lang w:val="et-EE"/>
        </w:rPr>
        <w:t xml:space="preserve">Toetatava tegevuse rakendusüksus on Riigi Tugiteenuste Keskus (edaspidi </w:t>
      </w:r>
      <w:r w:rsidRPr="009716CD">
        <w:rPr>
          <w:i/>
          <w:iCs/>
          <w:lang w:val="et-EE"/>
        </w:rPr>
        <w:t>rakendusüksus</w:t>
      </w:r>
      <w:r w:rsidRPr="009716CD">
        <w:rPr>
          <w:lang w:val="et-EE"/>
        </w:rPr>
        <w:t xml:space="preserve">). </w:t>
      </w:r>
    </w:p>
    <w:p w14:paraId="3B0C8099" w14:textId="26F53534" w:rsidR="00562645" w:rsidRPr="009716CD" w:rsidRDefault="00562645" w:rsidP="00173DCD">
      <w:pPr>
        <w:pStyle w:val="Pealkiri2"/>
      </w:pPr>
      <w:r w:rsidRPr="009716CD">
        <w:t>Elluviija ja partnerid</w:t>
      </w:r>
      <w:r w:rsidR="00434823" w:rsidRPr="009716CD">
        <w:t>.</w:t>
      </w:r>
    </w:p>
    <w:p w14:paraId="2A8BA6FA" w14:textId="544D6F16" w:rsidR="00562645" w:rsidRPr="009716CD" w:rsidRDefault="00562645" w:rsidP="00FE1AE3">
      <w:pPr>
        <w:pStyle w:val="Pealkiri3"/>
        <w:rPr>
          <w:lang w:val="et-EE"/>
        </w:rPr>
      </w:pPr>
      <w:r w:rsidRPr="009716CD">
        <w:rPr>
          <w:lang w:val="et-EE"/>
        </w:rPr>
        <w:t xml:space="preserve">Toetatava tegevuse elluviija on Eesti Linnade ja Valdade Liit (edaspidi </w:t>
      </w:r>
      <w:r w:rsidRPr="009716CD">
        <w:rPr>
          <w:i/>
          <w:iCs/>
          <w:lang w:val="et-EE"/>
        </w:rPr>
        <w:t>elluviija</w:t>
      </w:r>
      <w:r w:rsidRPr="009716CD">
        <w:rPr>
          <w:lang w:val="et-EE"/>
        </w:rPr>
        <w:t xml:space="preserve">). </w:t>
      </w:r>
    </w:p>
    <w:p w14:paraId="5CB885BC" w14:textId="10F442F4" w:rsidR="00B62402" w:rsidRPr="009716CD" w:rsidRDefault="00F26FCC" w:rsidP="00FE1AE3">
      <w:pPr>
        <w:pStyle w:val="Pealkiri3"/>
        <w:rPr>
          <w:lang w:val="et-EE"/>
        </w:rPr>
      </w:pPr>
      <w:r w:rsidRPr="009716CD">
        <w:rPr>
          <w:lang w:val="et-EE"/>
        </w:rPr>
        <w:t>E</w:t>
      </w:r>
      <w:r w:rsidR="00B62402" w:rsidRPr="009716CD">
        <w:rPr>
          <w:lang w:val="et-EE"/>
        </w:rPr>
        <w:t>lluviija partneri</w:t>
      </w:r>
      <w:r w:rsidR="00DF4740" w:rsidRPr="009716CD">
        <w:rPr>
          <w:lang w:val="et-EE"/>
        </w:rPr>
        <w:t xml:space="preserve">d </w:t>
      </w:r>
      <w:r w:rsidRPr="009716CD">
        <w:rPr>
          <w:lang w:val="et-EE"/>
        </w:rPr>
        <w:t xml:space="preserve">on </w:t>
      </w:r>
      <w:r w:rsidR="000E4741" w:rsidRPr="009716CD">
        <w:rPr>
          <w:lang w:val="et-EE"/>
        </w:rPr>
        <w:t xml:space="preserve">Tartu </w:t>
      </w:r>
      <w:r w:rsidR="00292012" w:rsidRPr="009716CD">
        <w:rPr>
          <w:lang w:val="et-EE"/>
        </w:rPr>
        <w:t>linn</w:t>
      </w:r>
      <w:r w:rsidR="00394C41" w:rsidRPr="009716CD">
        <w:rPr>
          <w:lang w:val="et-EE"/>
        </w:rPr>
        <w:t xml:space="preserve">, Tallinna </w:t>
      </w:r>
      <w:r w:rsidR="00292012" w:rsidRPr="009716CD">
        <w:rPr>
          <w:lang w:val="et-EE"/>
        </w:rPr>
        <w:t>linn</w:t>
      </w:r>
      <w:r w:rsidR="00394C41" w:rsidRPr="009716CD">
        <w:rPr>
          <w:lang w:val="et-EE"/>
        </w:rPr>
        <w:t xml:space="preserve">, Pärnu </w:t>
      </w:r>
      <w:r w:rsidR="00292012" w:rsidRPr="009716CD">
        <w:rPr>
          <w:lang w:val="et-EE"/>
        </w:rPr>
        <w:t>linn</w:t>
      </w:r>
      <w:r w:rsidR="003040C3" w:rsidRPr="009716CD">
        <w:rPr>
          <w:lang w:val="et-EE"/>
        </w:rPr>
        <w:t>,</w:t>
      </w:r>
      <w:r w:rsidR="00394C41" w:rsidRPr="009716CD">
        <w:rPr>
          <w:lang w:val="et-EE"/>
        </w:rPr>
        <w:t xml:space="preserve"> Rakvere </w:t>
      </w:r>
      <w:r w:rsidR="00292012" w:rsidRPr="009716CD">
        <w:rPr>
          <w:lang w:val="et-EE"/>
        </w:rPr>
        <w:t>linn</w:t>
      </w:r>
      <w:r w:rsidR="00A50735" w:rsidRPr="009716CD">
        <w:rPr>
          <w:lang w:val="et-EE"/>
        </w:rPr>
        <w:t xml:space="preserve">, </w:t>
      </w:r>
      <w:r w:rsidR="003040C3" w:rsidRPr="009716CD">
        <w:rPr>
          <w:lang w:val="et-EE"/>
        </w:rPr>
        <w:t>Saaremaa vald</w:t>
      </w:r>
      <w:r w:rsidR="003A1B97" w:rsidRPr="009716CD">
        <w:rPr>
          <w:lang w:val="et-EE"/>
        </w:rPr>
        <w:t xml:space="preserve">, </w:t>
      </w:r>
      <w:r w:rsidR="00A50735" w:rsidRPr="009716CD">
        <w:rPr>
          <w:lang w:val="et-EE"/>
        </w:rPr>
        <w:t>Jõhvi vald</w:t>
      </w:r>
      <w:r w:rsidR="003A1B97" w:rsidRPr="009716CD">
        <w:rPr>
          <w:lang w:val="et-EE"/>
        </w:rPr>
        <w:t>, Haapsalu linn ja Kohtla-Järve linn.</w:t>
      </w:r>
    </w:p>
    <w:p w14:paraId="45340D09" w14:textId="64F5E28E" w:rsidR="00B37EC5" w:rsidRPr="009716CD" w:rsidRDefault="00F26FCC" w:rsidP="00173DCD">
      <w:pPr>
        <w:pStyle w:val="Pealkiri2"/>
      </w:pPr>
      <w:r w:rsidRPr="009716CD">
        <w:t>T</w:t>
      </w:r>
      <w:r w:rsidR="007144C0" w:rsidRPr="009716CD">
        <w:t xml:space="preserve">oetatava </w:t>
      </w:r>
      <w:r w:rsidR="00B13AD8" w:rsidRPr="009716CD">
        <w:t>tegevuse tulemusena on</w:t>
      </w:r>
      <w:r w:rsidR="00406E0F" w:rsidRPr="009716CD">
        <w:t xml:space="preserve"> </w:t>
      </w:r>
      <w:bookmarkStart w:id="7" w:name="_Hlk116562451"/>
      <w:r w:rsidR="006A6DF4" w:rsidRPr="009716CD">
        <w:t xml:space="preserve">suurenenud </w:t>
      </w:r>
      <w:proofErr w:type="spellStart"/>
      <w:r w:rsidR="00FD6908" w:rsidRPr="009716CD">
        <w:t>KOV</w:t>
      </w:r>
      <w:r w:rsidR="001F08A7" w:rsidRPr="009716CD">
        <w:t>-</w:t>
      </w:r>
      <w:r w:rsidR="00FD6908" w:rsidRPr="009716CD">
        <w:t>ide</w:t>
      </w:r>
      <w:proofErr w:type="spellEnd"/>
      <w:r w:rsidR="00FD6908" w:rsidRPr="009716CD">
        <w:t xml:space="preserve"> </w:t>
      </w:r>
      <w:r w:rsidR="00B27048" w:rsidRPr="009716CD">
        <w:t>võimekus pakkuda ja arendada lõimumis-, s</w:t>
      </w:r>
      <w:r w:rsidR="0006215E" w:rsidRPr="009716CD">
        <w:t>e</w:t>
      </w:r>
      <w:r w:rsidR="00721E43" w:rsidRPr="009716CD">
        <w:t>alhulgas</w:t>
      </w:r>
      <w:r w:rsidR="00B27048" w:rsidRPr="009716CD">
        <w:t xml:space="preserve"> kohanemisteenuseid</w:t>
      </w:r>
      <w:r w:rsidRPr="009716CD">
        <w:t xml:space="preserve"> punktis</w:t>
      </w:r>
      <w:r w:rsidR="00EF3F69" w:rsidRPr="009716CD">
        <w:t xml:space="preserve"> 3.5.4</w:t>
      </w:r>
      <w:r w:rsidRPr="009716CD">
        <w:t xml:space="preserve"> nimetatud sihtrühmale.</w:t>
      </w:r>
      <w:r w:rsidR="00B27048" w:rsidRPr="009716CD">
        <w:t xml:space="preserve"> </w:t>
      </w:r>
    </w:p>
    <w:p w14:paraId="6AEB8ADF" w14:textId="47BE5BC2" w:rsidR="00CA6716" w:rsidRPr="009716CD" w:rsidRDefault="00A75FDB" w:rsidP="00173DCD">
      <w:pPr>
        <w:pStyle w:val="Pealkiri2"/>
      </w:pPr>
      <w:bookmarkStart w:id="8" w:name="_Hlk181715295"/>
      <w:bookmarkEnd w:id="7"/>
      <w:r w:rsidRPr="009716CD">
        <w:t>Tegevused, sihtrühm ja elluviimise aeg</w:t>
      </w:r>
      <w:r w:rsidR="002E2F53" w:rsidRPr="009716CD">
        <w:t>.</w:t>
      </w:r>
    </w:p>
    <w:p w14:paraId="722DB17A" w14:textId="3716BB47" w:rsidR="00583548" w:rsidRPr="009716CD" w:rsidRDefault="00BF157E" w:rsidP="00FE1AE3">
      <w:pPr>
        <w:pStyle w:val="Pealkiri3"/>
        <w:rPr>
          <w:lang w:val="et-EE"/>
        </w:rPr>
      </w:pPr>
      <w:bookmarkStart w:id="9" w:name="_Hlk115874122"/>
      <w:r w:rsidRPr="009716CD">
        <w:rPr>
          <w:lang w:val="et-EE"/>
        </w:rPr>
        <w:t>Elluviija tegevused</w:t>
      </w:r>
      <w:r w:rsidR="0077390A" w:rsidRPr="009716CD">
        <w:rPr>
          <w:lang w:val="et-EE"/>
        </w:rPr>
        <w:t>.</w:t>
      </w:r>
    </w:p>
    <w:p w14:paraId="4E549FF2" w14:textId="335E5A65" w:rsidR="00570202" w:rsidRPr="009716CD" w:rsidRDefault="008A0CD3" w:rsidP="00266F3B">
      <w:pPr>
        <w:pStyle w:val="Pealkiri4"/>
      </w:pPr>
      <w:proofErr w:type="spellStart"/>
      <w:r w:rsidRPr="009716CD">
        <w:t>K</w:t>
      </w:r>
      <w:r w:rsidR="00FD6908" w:rsidRPr="009716CD">
        <w:t>OV-ide</w:t>
      </w:r>
      <w:proofErr w:type="spellEnd"/>
      <w:r w:rsidR="006E75EB" w:rsidRPr="009716CD">
        <w:t xml:space="preserve"> </w:t>
      </w:r>
      <w:r w:rsidR="00C12798" w:rsidRPr="009716CD">
        <w:t xml:space="preserve">tegevusplaanide koostamine ja </w:t>
      </w:r>
      <w:r w:rsidR="006E75EB" w:rsidRPr="009716CD">
        <w:t>sisutegevuste toetamine</w:t>
      </w:r>
      <w:r w:rsidR="0000488D" w:rsidRPr="009716CD">
        <w:t>.</w:t>
      </w:r>
      <w:r w:rsidR="00847369" w:rsidRPr="009716CD">
        <w:t xml:space="preserve"> </w:t>
      </w:r>
    </w:p>
    <w:p w14:paraId="7DB07068" w14:textId="5FDF2E7C" w:rsidR="00FD6908" w:rsidRPr="009716CD" w:rsidRDefault="00FD6908" w:rsidP="00266F3B">
      <w:pPr>
        <w:pStyle w:val="Pealkiri4"/>
      </w:pPr>
      <w:bookmarkStart w:id="10" w:name="_Hlk178688570"/>
      <w:bookmarkStart w:id="11" w:name="_Hlk115873932"/>
      <w:bookmarkEnd w:id="9"/>
      <w:r w:rsidRPr="009716CD">
        <w:t xml:space="preserve">Lõimumis-, sealhulgas kohanemisteekondade väljatöötamine ja rakendamine </w:t>
      </w:r>
      <w:proofErr w:type="spellStart"/>
      <w:r w:rsidR="002E2F53" w:rsidRPr="009716CD">
        <w:t>KOV</w:t>
      </w:r>
      <w:r w:rsidR="00434823" w:rsidRPr="009716CD">
        <w:noBreakHyphen/>
      </w:r>
      <w:r w:rsidR="002E2F53" w:rsidRPr="009716CD">
        <w:t>ides</w:t>
      </w:r>
      <w:proofErr w:type="spellEnd"/>
      <w:r w:rsidR="00583548" w:rsidRPr="009716CD">
        <w:t xml:space="preserve">. </w:t>
      </w:r>
      <w:bookmarkEnd w:id="10"/>
    </w:p>
    <w:p w14:paraId="4FCBDF41" w14:textId="67408A6D" w:rsidR="008C589A" w:rsidRPr="009716CD" w:rsidRDefault="00FF5F76" w:rsidP="00480EB4">
      <w:pPr>
        <w:pStyle w:val="Pealkiri4"/>
      </w:pPr>
      <w:r w:rsidRPr="009716CD">
        <w:t>Tõhusa</w:t>
      </w:r>
      <w:r w:rsidR="006456FC" w:rsidRPr="009716CD">
        <w:t xml:space="preserve"> </w:t>
      </w:r>
      <w:r w:rsidRPr="009716CD">
        <w:t xml:space="preserve">kommunikatsiooni tagamine </w:t>
      </w:r>
      <w:proofErr w:type="spellStart"/>
      <w:r w:rsidRPr="009716CD">
        <w:t>KOV</w:t>
      </w:r>
      <w:r w:rsidR="006456FC" w:rsidRPr="009716CD">
        <w:t>-</w:t>
      </w:r>
      <w:r w:rsidRPr="009716CD">
        <w:t>ide</w:t>
      </w:r>
      <w:r w:rsidR="008C589A" w:rsidRPr="009716CD">
        <w:t>le</w:t>
      </w:r>
      <w:proofErr w:type="spellEnd"/>
      <w:r w:rsidR="00731A73" w:rsidRPr="009716CD">
        <w:t>.</w:t>
      </w:r>
    </w:p>
    <w:p w14:paraId="38ECECC0" w14:textId="29F1189A" w:rsidR="008C589A" w:rsidRPr="009716CD" w:rsidRDefault="00BF743B" w:rsidP="008357EC">
      <w:pPr>
        <w:pStyle w:val="Pealkiri5"/>
        <w:ind w:left="993" w:hanging="426"/>
        <w:rPr>
          <w:lang w:val="et-EE"/>
        </w:rPr>
      </w:pPr>
      <w:r w:rsidRPr="009716CD">
        <w:rPr>
          <w:lang w:val="et-EE"/>
        </w:rPr>
        <w:t xml:space="preserve"> </w:t>
      </w:r>
      <w:r w:rsidR="00480EB4" w:rsidRPr="009716CD">
        <w:rPr>
          <w:lang w:val="et-EE"/>
        </w:rPr>
        <w:t>Valdkondliku info kogumine ning analüüsimine</w:t>
      </w:r>
      <w:r w:rsidR="00731A73" w:rsidRPr="009716CD">
        <w:rPr>
          <w:lang w:val="et-EE"/>
        </w:rPr>
        <w:t>.</w:t>
      </w:r>
    </w:p>
    <w:p w14:paraId="020A1055" w14:textId="35B85788" w:rsidR="008357EC" w:rsidRPr="009716CD" w:rsidRDefault="00BF743B" w:rsidP="00BF743B">
      <w:pPr>
        <w:pStyle w:val="Pealkiri5"/>
        <w:ind w:left="993" w:hanging="426"/>
        <w:rPr>
          <w:lang w:val="et-EE"/>
        </w:rPr>
      </w:pPr>
      <w:bookmarkStart w:id="12" w:name="_Hlk115899496"/>
      <w:bookmarkEnd w:id="11"/>
      <w:r w:rsidRPr="009716CD">
        <w:rPr>
          <w:lang w:val="et-EE"/>
        </w:rPr>
        <w:t xml:space="preserve"> </w:t>
      </w:r>
      <w:proofErr w:type="spellStart"/>
      <w:r w:rsidR="005E6E90" w:rsidRPr="009716CD">
        <w:rPr>
          <w:lang w:val="et-EE"/>
        </w:rPr>
        <w:t>KOV-ide</w:t>
      </w:r>
      <w:proofErr w:type="spellEnd"/>
      <w:r w:rsidR="005E6E90" w:rsidRPr="009716CD">
        <w:rPr>
          <w:lang w:val="et-EE"/>
        </w:rPr>
        <w:t xml:space="preserve"> nõustamine</w:t>
      </w:r>
      <w:r w:rsidR="008357EC" w:rsidRPr="009716CD">
        <w:rPr>
          <w:lang w:val="et-EE"/>
        </w:rPr>
        <w:t>.</w:t>
      </w:r>
    </w:p>
    <w:p w14:paraId="602D45CE" w14:textId="13E20090" w:rsidR="00140632" w:rsidRPr="009716CD" w:rsidRDefault="00BF743B" w:rsidP="00BF743B">
      <w:pPr>
        <w:pStyle w:val="Pealkiri5"/>
        <w:ind w:left="993" w:hanging="426"/>
        <w:rPr>
          <w:lang w:val="et-EE"/>
        </w:rPr>
      </w:pPr>
      <w:r w:rsidRPr="009716CD">
        <w:rPr>
          <w:lang w:val="et-EE"/>
        </w:rPr>
        <w:lastRenderedPageBreak/>
        <w:t xml:space="preserve"> </w:t>
      </w:r>
      <w:r w:rsidR="008357EC" w:rsidRPr="009716CD">
        <w:rPr>
          <w:lang w:val="et-EE"/>
        </w:rPr>
        <w:t>K</w:t>
      </w:r>
      <w:r w:rsidR="00FF5F76" w:rsidRPr="009716CD">
        <w:rPr>
          <w:lang w:val="et-EE"/>
        </w:rPr>
        <w:t>oordinaatorite võrgustiku arendamine</w:t>
      </w:r>
      <w:r w:rsidR="008D04FC" w:rsidRPr="009716CD">
        <w:rPr>
          <w:lang w:val="et-EE"/>
        </w:rPr>
        <w:t>.</w:t>
      </w:r>
      <w:r w:rsidR="0064282E" w:rsidRPr="009716CD">
        <w:rPr>
          <w:lang w:val="et-EE"/>
        </w:rPr>
        <w:t xml:space="preserve"> </w:t>
      </w:r>
      <w:r w:rsidR="007638A3" w:rsidRPr="009716CD">
        <w:rPr>
          <w:lang w:val="et-EE"/>
        </w:rPr>
        <w:t xml:space="preserve"> </w:t>
      </w:r>
    </w:p>
    <w:p w14:paraId="6EE2637E" w14:textId="603C477D" w:rsidR="003616EE" w:rsidRPr="009716CD" w:rsidRDefault="00BF743B" w:rsidP="00BF743B">
      <w:pPr>
        <w:pStyle w:val="Pealkiri5"/>
        <w:ind w:left="993" w:hanging="426"/>
        <w:rPr>
          <w:lang w:val="et-EE"/>
        </w:rPr>
      </w:pPr>
      <w:bookmarkStart w:id="13" w:name="_Hlk178688658"/>
      <w:r w:rsidRPr="009716CD">
        <w:rPr>
          <w:lang w:val="et-EE"/>
        </w:rPr>
        <w:t xml:space="preserve"> </w:t>
      </w:r>
      <w:r w:rsidR="008357EC" w:rsidRPr="009716CD">
        <w:rPr>
          <w:lang w:val="et-EE"/>
        </w:rPr>
        <w:t>K</w:t>
      </w:r>
      <w:r w:rsidR="003616EE" w:rsidRPr="009716CD">
        <w:rPr>
          <w:lang w:val="et-EE"/>
        </w:rPr>
        <w:t xml:space="preserve">oostöö </w:t>
      </w:r>
      <w:r w:rsidR="00FD7435" w:rsidRPr="009716CD">
        <w:rPr>
          <w:lang w:val="et-EE"/>
        </w:rPr>
        <w:t>koordineerimine</w:t>
      </w:r>
      <w:r w:rsidR="003616EE" w:rsidRPr="009716CD">
        <w:rPr>
          <w:lang w:val="et-EE"/>
        </w:rPr>
        <w:t xml:space="preserve"> </w:t>
      </w:r>
      <w:proofErr w:type="spellStart"/>
      <w:r w:rsidR="003616EE" w:rsidRPr="009716CD">
        <w:rPr>
          <w:lang w:val="et-EE"/>
        </w:rPr>
        <w:t>KOV-ide</w:t>
      </w:r>
      <w:proofErr w:type="spellEnd"/>
      <w:r w:rsidR="003616EE" w:rsidRPr="009716CD">
        <w:rPr>
          <w:lang w:val="et-EE"/>
        </w:rPr>
        <w:t xml:space="preserve"> </w:t>
      </w:r>
      <w:r w:rsidR="00B6609C" w:rsidRPr="009716CD">
        <w:rPr>
          <w:lang w:val="et-EE"/>
        </w:rPr>
        <w:t xml:space="preserve">ja </w:t>
      </w:r>
      <w:r w:rsidR="003616EE" w:rsidRPr="009716CD">
        <w:rPr>
          <w:lang w:val="et-EE"/>
        </w:rPr>
        <w:t>sidusrühmade vahel.</w:t>
      </w:r>
      <w:r w:rsidR="007638A3" w:rsidRPr="009716CD">
        <w:rPr>
          <w:lang w:val="et-EE"/>
        </w:rPr>
        <w:t xml:space="preserve"> </w:t>
      </w:r>
      <w:bookmarkEnd w:id="13"/>
    </w:p>
    <w:p w14:paraId="4B67726A" w14:textId="20C8E8F0" w:rsidR="00E13CA4" w:rsidRPr="009716CD" w:rsidRDefault="001E48E3" w:rsidP="00266F3B">
      <w:pPr>
        <w:pStyle w:val="Pealkiri4"/>
      </w:pPr>
      <w:bookmarkStart w:id="14" w:name="_Hlk115873964"/>
      <w:bookmarkEnd w:id="12"/>
      <w:r w:rsidRPr="009716CD">
        <w:t>KOV a</w:t>
      </w:r>
      <w:r w:rsidR="00875D4F" w:rsidRPr="009716CD">
        <w:t xml:space="preserve">metnike ja </w:t>
      </w:r>
      <w:r w:rsidRPr="009716CD">
        <w:t>töötajate</w:t>
      </w:r>
      <w:r w:rsidR="00875D4F" w:rsidRPr="009716CD">
        <w:t xml:space="preserve"> </w:t>
      </w:r>
      <w:r w:rsidR="00576E8E" w:rsidRPr="009716CD">
        <w:t>sihtrühmaga</w:t>
      </w:r>
      <w:r w:rsidR="00875D4F" w:rsidRPr="009716CD">
        <w:t xml:space="preserve"> töötamise võimekuse tõstmine</w:t>
      </w:r>
      <w:r w:rsidR="00731A73" w:rsidRPr="009716CD">
        <w:t>.</w:t>
      </w:r>
    </w:p>
    <w:bookmarkEnd w:id="14"/>
    <w:p w14:paraId="545646F5" w14:textId="1C3C3FB3" w:rsidR="00875D4F" w:rsidRPr="009716CD" w:rsidRDefault="0022054B" w:rsidP="0022054B">
      <w:pPr>
        <w:pStyle w:val="Pealkiri5"/>
        <w:ind w:left="993" w:hanging="426"/>
        <w:rPr>
          <w:lang w:val="et-EE"/>
        </w:rPr>
      </w:pPr>
      <w:r w:rsidRPr="009716CD">
        <w:rPr>
          <w:lang w:val="et-EE"/>
        </w:rPr>
        <w:t xml:space="preserve"> </w:t>
      </w:r>
      <w:r w:rsidR="003B49AC" w:rsidRPr="009716CD">
        <w:rPr>
          <w:lang w:val="et-EE"/>
        </w:rPr>
        <w:t>KOV a</w:t>
      </w:r>
      <w:r w:rsidR="00661021" w:rsidRPr="009716CD">
        <w:rPr>
          <w:lang w:val="et-EE"/>
        </w:rPr>
        <w:t xml:space="preserve">metnike ja töötajate koolitusvajaduse </w:t>
      </w:r>
      <w:r w:rsidR="005E6E90" w:rsidRPr="009716CD">
        <w:rPr>
          <w:lang w:val="et-EE"/>
        </w:rPr>
        <w:t>väljaselgitamine</w:t>
      </w:r>
      <w:r w:rsidR="00640EA2" w:rsidRPr="009716CD">
        <w:rPr>
          <w:lang w:val="et-EE"/>
        </w:rPr>
        <w:t xml:space="preserve"> ja analüüsimine</w:t>
      </w:r>
      <w:r w:rsidR="00832C83" w:rsidRPr="009716CD">
        <w:rPr>
          <w:lang w:val="et-EE"/>
        </w:rPr>
        <w:t>.</w:t>
      </w:r>
      <w:r w:rsidR="007638A3" w:rsidRPr="009716CD">
        <w:rPr>
          <w:lang w:val="et-EE"/>
        </w:rPr>
        <w:t xml:space="preserve"> </w:t>
      </w:r>
    </w:p>
    <w:p w14:paraId="554D444F" w14:textId="4E647D6F" w:rsidR="003616EE" w:rsidRPr="009716CD" w:rsidRDefault="0022054B" w:rsidP="0022054B">
      <w:pPr>
        <w:pStyle w:val="Pealkiri5"/>
        <w:ind w:left="993" w:hanging="426"/>
        <w:rPr>
          <w:lang w:val="et-EE"/>
        </w:rPr>
      </w:pPr>
      <w:r w:rsidRPr="009716CD">
        <w:rPr>
          <w:lang w:val="et-EE"/>
        </w:rPr>
        <w:t xml:space="preserve"> </w:t>
      </w:r>
      <w:r w:rsidR="002564F0" w:rsidRPr="009716CD">
        <w:rPr>
          <w:lang w:val="et-EE"/>
        </w:rPr>
        <w:t>K</w:t>
      </w:r>
      <w:r w:rsidR="004D7DFC" w:rsidRPr="009716CD">
        <w:rPr>
          <w:lang w:val="et-EE"/>
        </w:rPr>
        <w:t>oolituste</w:t>
      </w:r>
      <w:r w:rsidR="00CA6716" w:rsidRPr="009716CD">
        <w:rPr>
          <w:lang w:val="et-EE"/>
        </w:rPr>
        <w:t xml:space="preserve">, töövarjupäevade, </w:t>
      </w:r>
      <w:r w:rsidR="00875D4F" w:rsidRPr="009716CD">
        <w:rPr>
          <w:lang w:val="et-EE"/>
        </w:rPr>
        <w:t>õppereiside</w:t>
      </w:r>
      <w:r w:rsidR="005E6E90" w:rsidRPr="009716CD">
        <w:rPr>
          <w:lang w:val="et-EE"/>
        </w:rPr>
        <w:t xml:space="preserve"> ja</w:t>
      </w:r>
      <w:r w:rsidR="00875D4F" w:rsidRPr="009716CD">
        <w:rPr>
          <w:lang w:val="et-EE"/>
        </w:rPr>
        <w:t xml:space="preserve"> </w:t>
      </w:r>
      <w:r w:rsidR="00CA6716" w:rsidRPr="009716CD">
        <w:rPr>
          <w:lang w:val="et-EE"/>
        </w:rPr>
        <w:t>kogemuskohtumiste</w:t>
      </w:r>
      <w:r w:rsidR="004D7DFC" w:rsidRPr="009716CD">
        <w:rPr>
          <w:lang w:val="et-EE"/>
        </w:rPr>
        <w:t xml:space="preserve"> korraldamine</w:t>
      </w:r>
      <w:r w:rsidR="002564F0" w:rsidRPr="009716CD">
        <w:rPr>
          <w:lang w:val="et-EE"/>
        </w:rPr>
        <w:t>.</w:t>
      </w:r>
      <w:r w:rsidR="007638A3" w:rsidRPr="009716CD">
        <w:rPr>
          <w:lang w:val="et-EE"/>
        </w:rPr>
        <w:t xml:space="preserve"> </w:t>
      </w:r>
    </w:p>
    <w:p w14:paraId="4EC4AB3D" w14:textId="002CE923" w:rsidR="00875D4F" w:rsidRPr="009716CD" w:rsidRDefault="0022054B" w:rsidP="0022054B">
      <w:pPr>
        <w:pStyle w:val="Pealkiri5"/>
        <w:ind w:left="993" w:hanging="426"/>
        <w:rPr>
          <w:lang w:val="et-EE"/>
        </w:rPr>
      </w:pPr>
      <w:r w:rsidRPr="009716CD">
        <w:rPr>
          <w:lang w:val="et-EE"/>
        </w:rPr>
        <w:t xml:space="preserve"> </w:t>
      </w:r>
      <w:r w:rsidR="002564F0" w:rsidRPr="009716CD">
        <w:rPr>
          <w:lang w:val="et-EE"/>
        </w:rPr>
        <w:t>J</w:t>
      </w:r>
      <w:r w:rsidR="00247F15" w:rsidRPr="009716CD">
        <w:rPr>
          <w:lang w:val="et-EE"/>
        </w:rPr>
        <w:t>uhendmaterjalide koostamine</w:t>
      </w:r>
      <w:r w:rsidR="00C51493" w:rsidRPr="009716CD">
        <w:rPr>
          <w:lang w:val="et-EE"/>
        </w:rPr>
        <w:t xml:space="preserve"> ja levitamine</w:t>
      </w:r>
      <w:r w:rsidR="00875D4F" w:rsidRPr="009716CD">
        <w:rPr>
          <w:lang w:val="et-EE"/>
        </w:rPr>
        <w:t>.</w:t>
      </w:r>
      <w:r w:rsidR="007638A3" w:rsidRPr="009716CD">
        <w:rPr>
          <w:lang w:val="et-EE"/>
        </w:rPr>
        <w:t xml:space="preserve"> </w:t>
      </w:r>
    </w:p>
    <w:p w14:paraId="4F3A7972" w14:textId="193B664D" w:rsidR="00DC717F" w:rsidRPr="009716CD" w:rsidRDefault="00DC717F" w:rsidP="00FE1AE3">
      <w:pPr>
        <w:pStyle w:val="Pealkiri3"/>
        <w:rPr>
          <w:lang w:val="et-EE"/>
        </w:rPr>
      </w:pPr>
      <w:r w:rsidRPr="009716CD">
        <w:rPr>
          <w:lang w:val="et-EE"/>
        </w:rPr>
        <w:t>Partnerite tegevused</w:t>
      </w:r>
      <w:r w:rsidR="00100471" w:rsidRPr="009716CD">
        <w:rPr>
          <w:lang w:val="et-EE"/>
        </w:rPr>
        <w:t>.</w:t>
      </w:r>
    </w:p>
    <w:p w14:paraId="4888714E" w14:textId="4C55B93A" w:rsidR="003B49AC" w:rsidRPr="009716CD" w:rsidRDefault="003B49AC" w:rsidP="003B49AC">
      <w:pPr>
        <w:pStyle w:val="Pealkiri4"/>
      </w:pPr>
      <w:r w:rsidRPr="009716CD">
        <w:t xml:space="preserve">Sihtrühmale </w:t>
      </w:r>
      <w:r w:rsidR="00BF157E" w:rsidRPr="009716CD">
        <w:t>teenuste arendamine</w:t>
      </w:r>
      <w:r w:rsidRPr="009716CD">
        <w:t xml:space="preserve"> ja pakkumine</w:t>
      </w:r>
      <w:r w:rsidR="00DB7C49" w:rsidRPr="009716CD">
        <w:t xml:space="preserve"> KOV piirkonnas</w:t>
      </w:r>
      <w:r w:rsidR="005917F7" w:rsidRPr="009716CD">
        <w:t>.</w:t>
      </w:r>
    </w:p>
    <w:p w14:paraId="6489C385" w14:textId="77777777" w:rsidR="001B0081" w:rsidRPr="009716CD" w:rsidRDefault="001B0081" w:rsidP="001B0081">
      <w:pPr>
        <w:pStyle w:val="Pealkiri5"/>
        <w:rPr>
          <w:lang w:val="et-EE"/>
        </w:rPr>
      </w:pPr>
      <w:proofErr w:type="spellStart"/>
      <w:r w:rsidRPr="009716CD">
        <w:rPr>
          <w:lang w:val="et-EE"/>
        </w:rPr>
        <w:t>KOV-s</w:t>
      </w:r>
      <w:proofErr w:type="spellEnd"/>
      <w:r w:rsidRPr="009716CD">
        <w:rPr>
          <w:lang w:val="et-EE"/>
        </w:rPr>
        <w:t xml:space="preserve"> elava sihtrühma kaasamine punktis 1.4 nimetatud eesmärki toetavasse tegevusse.</w:t>
      </w:r>
    </w:p>
    <w:p w14:paraId="7A7980F0" w14:textId="59EA55B4" w:rsidR="005B5E62" w:rsidRPr="009716CD" w:rsidRDefault="00FE1EB8" w:rsidP="003B49AC">
      <w:pPr>
        <w:pStyle w:val="Pealkiri5"/>
        <w:rPr>
          <w:lang w:val="et-EE"/>
        </w:rPr>
      </w:pPr>
      <w:bookmarkStart w:id="15" w:name="_Hlk181711439"/>
      <w:r w:rsidRPr="009716CD">
        <w:rPr>
          <w:lang w:val="et-EE"/>
        </w:rPr>
        <w:t>Vajaduspõhise t</w:t>
      </w:r>
      <w:r w:rsidR="000A1EAA" w:rsidRPr="009716CD">
        <w:rPr>
          <w:lang w:val="et-EE"/>
        </w:rPr>
        <w:t>ugiteenuse pakkumine sihtrühmale.</w:t>
      </w:r>
    </w:p>
    <w:bookmarkEnd w:id="15"/>
    <w:p w14:paraId="57BD98F0" w14:textId="384998D9" w:rsidR="003B49AC" w:rsidRPr="009716CD" w:rsidRDefault="003B49AC" w:rsidP="003B49AC">
      <w:pPr>
        <w:pStyle w:val="Pealkiri5"/>
        <w:rPr>
          <w:lang w:val="et-EE"/>
        </w:rPr>
      </w:pPr>
      <w:r w:rsidRPr="009716CD">
        <w:rPr>
          <w:lang w:val="et-EE"/>
        </w:rPr>
        <w:t>Tõhusa kommunikatsiooni tagamine sihtrühmale</w:t>
      </w:r>
      <w:r w:rsidR="00522DF9" w:rsidRPr="009716CD">
        <w:rPr>
          <w:lang w:val="et-EE"/>
        </w:rPr>
        <w:t>.</w:t>
      </w:r>
    </w:p>
    <w:p w14:paraId="051D01BE" w14:textId="4BC554F3" w:rsidR="00BF157E" w:rsidRPr="009716CD" w:rsidRDefault="00BF157E" w:rsidP="005B5E62">
      <w:pPr>
        <w:pStyle w:val="Pealkiri5"/>
        <w:rPr>
          <w:lang w:val="et-EE"/>
        </w:rPr>
      </w:pPr>
      <w:r w:rsidRPr="009716CD">
        <w:rPr>
          <w:lang w:val="et-EE"/>
        </w:rPr>
        <w:t xml:space="preserve">Kohalike </w:t>
      </w:r>
      <w:r w:rsidR="00535DB3" w:rsidRPr="009716CD">
        <w:rPr>
          <w:lang w:val="et-EE"/>
        </w:rPr>
        <w:t xml:space="preserve">koostöövõrgustike </w:t>
      </w:r>
      <w:r w:rsidRPr="009716CD">
        <w:rPr>
          <w:lang w:val="et-EE"/>
        </w:rPr>
        <w:t>arendamine</w:t>
      </w:r>
      <w:r w:rsidR="00DB7C49" w:rsidRPr="009716CD">
        <w:rPr>
          <w:lang w:val="et-EE"/>
        </w:rPr>
        <w:t xml:space="preserve"> ja koostöö koordineerimine</w:t>
      </w:r>
      <w:r w:rsidR="005B5E62" w:rsidRPr="009716CD">
        <w:rPr>
          <w:lang w:val="et-EE"/>
        </w:rPr>
        <w:t xml:space="preserve"> </w:t>
      </w:r>
      <w:proofErr w:type="spellStart"/>
      <w:r w:rsidR="005B5E62" w:rsidRPr="009716CD">
        <w:rPr>
          <w:lang w:val="et-EE"/>
        </w:rPr>
        <w:t>KOV-i</w:t>
      </w:r>
      <w:proofErr w:type="spellEnd"/>
      <w:r w:rsidR="005B5E62" w:rsidRPr="009716CD">
        <w:rPr>
          <w:lang w:val="et-EE"/>
        </w:rPr>
        <w:t xml:space="preserve"> ja sidusrühmade vahel.</w:t>
      </w:r>
    </w:p>
    <w:p w14:paraId="6D525888" w14:textId="16222DF4" w:rsidR="008877CB" w:rsidRPr="009716CD" w:rsidRDefault="00DB7C49" w:rsidP="00DB7C49">
      <w:pPr>
        <w:pStyle w:val="Pealkiri5"/>
        <w:rPr>
          <w:lang w:val="et-EE"/>
        </w:rPr>
      </w:pPr>
      <w:r w:rsidRPr="009716CD">
        <w:rPr>
          <w:lang w:val="et-EE"/>
        </w:rPr>
        <w:t>Koostöös elluviijaga</w:t>
      </w:r>
      <w:r w:rsidR="00A119AB" w:rsidRPr="009716CD">
        <w:rPr>
          <w:lang w:val="et-EE"/>
        </w:rPr>
        <w:t xml:space="preserve"> </w:t>
      </w:r>
      <w:r w:rsidR="003B0AD4" w:rsidRPr="009716CD">
        <w:rPr>
          <w:lang w:val="et-EE"/>
        </w:rPr>
        <w:t>l</w:t>
      </w:r>
      <w:r w:rsidR="008877CB" w:rsidRPr="009716CD">
        <w:rPr>
          <w:lang w:val="et-EE"/>
        </w:rPr>
        <w:t>õimumis-, sealhulgas kohanemisteekondade väljatöötamine ja rakendamine</w:t>
      </w:r>
      <w:r w:rsidR="005B5E62" w:rsidRPr="009716CD">
        <w:rPr>
          <w:lang w:val="et-EE"/>
        </w:rPr>
        <w:t>.</w:t>
      </w:r>
    </w:p>
    <w:bookmarkEnd w:id="8"/>
    <w:p w14:paraId="5DF66045" w14:textId="3B60C35C" w:rsidR="00497DE7" w:rsidRPr="009716CD" w:rsidRDefault="00962366" w:rsidP="00FE1AE3">
      <w:pPr>
        <w:pStyle w:val="Pealkiri3"/>
        <w:rPr>
          <w:lang w:val="et-EE"/>
        </w:rPr>
      </w:pPr>
      <w:r w:rsidRPr="009716CD">
        <w:rPr>
          <w:lang w:val="et-EE"/>
        </w:rPr>
        <w:t>Tegevu</w:t>
      </w:r>
      <w:r w:rsidR="00497DE7" w:rsidRPr="009716CD">
        <w:rPr>
          <w:lang w:val="et-EE"/>
        </w:rPr>
        <w:t>s</w:t>
      </w:r>
      <w:r w:rsidRPr="009716CD">
        <w:rPr>
          <w:lang w:val="et-EE"/>
        </w:rPr>
        <w:t>t</w:t>
      </w:r>
      <w:r w:rsidR="00497DE7" w:rsidRPr="009716CD">
        <w:rPr>
          <w:lang w:val="et-EE"/>
        </w:rPr>
        <w:t>e elluviimise aeg on 01.01.202</w:t>
      </w:r>
      <w:r w:rsidR="008255C9" w:rsidRPr="009716CD">
        <w:rPr>
          <w:lang w:val="et-EE"/>
        </w:rPr>
        <w:t>3</w:t>
      </w:r>
      <w:r w:rsidR="00497DE7" w:rsidRPr="009716CD">
        <w:rPr>
          <w:lang w:val="et-EE"/>
        </w:rPr>
        <w:t>–3</w:t>
      </w:r>
      <w:r w:rsidR="008255C9" w:rsidRPr="009716CD">
        <w:rPr>
          <w:lang w:val="et-EE"/>
        </w:rPr>
        <w:t>1.1</w:t>
      </w:r>
      <w:r w:rsidR="0032185B" w:rsidRPr="009716CD">
        <w:rPr>
          <w:lang w:val="et-EE"/>
        </w:rPr>
        <w:t>0</w:t>
      </w:r>
      <w:r w:rsidR="00497DE7" w:rsidRPr="009716CD">
        <w:rPr>
          <w:lang w:val="et-EE"/>
        </w:rPr>
        <w:t>.202</w:t>
      </w:r>
      <w:r w:rsidR="0032185B" w:rsidRPr="009716CD">
        <w:rPr>
          <w:lang w:val="et-EE"/>
        </w:rPr>
        <w:t>9</w:t>
      </w:r>
      <w:r w:rsidR="00497DE7" w:rsidRPr="009716CD">
        <w:rPr>
          <w:lang w:val="et-EE"/>
        </w:rPr>
        <w:t xml:space="preserve">. </w:t>
      </w:r>
    </w:p>
    <w:p w14:paraId="68B3BCB0" w14:textId="53A4AA58" w:rsidR="009678DF" w:rsidRPr="009716CD" w:rsidRDefault="00002F6B" w:rsidP="00FE1AE3">
      <w:pPr>
        <w:pStyle w:val="Pealkiri3"/>
        <w:rPr>
          <w:lang w:val="et-EE"/>
        </w:rPr>
      </w:pPr>
      <w:r w:rsidRPr="009716CD">
        <w:rPr>
          <w:lang w:val="et-EE"/>
        </w:rPr>
        <w:t>Toetatava tegevuse</w:t>
      </w:r>
      <w:r w:rsidR="000C3672" w:rsidRPr="009716CD">
        <w:rPr>
          <w:lang w:val="et-EE"/>
        </w:rPr>
        <w:t xml:space="preserve"> sihtrühm on</w:t>
      </w:r>
      <w:r w:rsidR="006456FC" w:rsidRPr="009716CD">
        <w:rPr>
          <w:lang w:val="et-EE"/>
        </w:rPr>
        <w:t xml:space="preserve"> </w:t>
      </w:r>
      <w:r w:rsidR="00923E83" w:rsidRPr="009716CD">
        <w:rPr>
          <w:lang w:val="et-EE"/>
        </w:rPr>
        <w:t xml:space="preserve">vähemalt 18-aastased </w:t>
      </w:r>
      <w:r w:rsidR="006456FC" w:rsidRPr="009716CD">
        <w:rPr>
          <w:lang w:val="et-EE"/>
        </w:rPr>
        <w:t>uussisserändajad,</w:t>
      </w:r>
      <w:r w:rsidR="000C3672" w:rsidRPr="009716CD">
        <w:rPr>
          <w:lang w:val="et-EE"/>
        </w:rPr>
        <w:t xml:space="preserve"> </w:t>
      </w:r>
      <w:r w:rsidR="00B81C5D" w:rsidRPr="009716CD">
        <w:rPr>
          <w:lang w:val="et-EE"/>
        </w:rPr>
        <w:t>eri</w:t>
      </w:r>
      <w:r w:rsidR="006456FC" w:rsidRPr="009716CD">
        <w:rPr>
          <w:lang w:val="et-EE"/>
        </w:rPr>
        <w:t>neva</w:t>
      </w:r>
      <w:r w:rsidR="00B81C5D" w:rsidRPr="009716CD">
        <w:rPr>
          <w:lang w:val="et-EE"/>
        </w:rPr>
        <w:t xml:space="preserve"> keele</w:t>
      </w:r>
      <w:r w:rsidR="00DA48B7" w:rsidRPr="009716CD">
        <w:rPr>
          <w:lang w:val="et-EE"/>
        </w:rPr>
        <w:t>-</w:t>
      </w:r>
      <w:r w:rsidR="00B81C5D" w:rsidRPr="009716CD">
        <w:rPr>
          <w:lang w:val="et-EE"/>
        </w:rPr>
        <w:t xml:space="preserve"> ja kultuuritaustaga inimesed</w:t>
      </w:r>
      <w:r w:rsidR="007C4A2A" w:rsidRPr="009716CD">
        <w:rPr>
          <w:lang w:val="et-EE"/>
        </w:rPr>
        <w:t xml:space="preserve"> </w:t>
      </w:r>
      <w:r w:rsidR="009E5431" w:rsidRPr="009716CD">
        <w:rPr>
          <w:lang w:val="et-EE"/>
        </w:rPr>
        <w:t xml:space="preserve">ja </w:t>
      </w:r>
      <w:proofErr w:type="spellStart"/>
      <w:r w:rsidR="009E5431" w:rsidRPr="009716CD">
        <w:rPr>
          <w:lang w:val="et-EE"/>
        </w:rPr>
        <w:t>tagasipöördujad</w:t>
      </w:r>
      <w:proofErr w:type="spellEnd"/>
      <w:r w:rsidR="009E5431" w:rsidRPr="009716CD">
        <w:rPr>
          <w:lang w:val="et-EE"/>
        </w:rPr>
        <w:t>.</w:t>
      </w:r>
    </w:p>
    <w:p w14:paraId="3E666832" w14:textId="77777777" w:rsidR="00C25C26" w:rsidRPr="009716CD" w:rsidRDefault="004E7686" w:rsidP="00B52F78">
      <w:pPr>
        <w:pStyle w:val="Pealkiri1"/>
      </w:pPr>
      <w:r w:rsidRPr="009716CD">
        <w:t>Seireks ja hindamiseks kasutatavad näitajad</w:t>
      </w:r>
    </w:p>
    <w:p w14:paraId="57561A67" w14:textId="4977FC6D" w:rsidR="004E7686" w:rsidRPr="009716CD" w:rsidRDefault="00222BC9" w:rsidP="00173DCD">
      <w:pPr>
        <w:pStyle w:val="Pealkiri2"/>
      </w:pPr>
      <w:r w:rsidRPr="009716CD">
        <w:t>T</w:t>
      </w:r>
      <w:r w:rsidR="003E17FC" w:rsidRPr="009716CD">
        <w:t xml:space="preserve">oetatava </w:t>
      </w:r>
      <w:r w:rsidR="00C25C26" w:rsidRPr="009716CD">
        <w:t xml:space="preserve">tegevuse seireks ja hindamiseks kasutatavad näitajad </w:t>
      </w:r>
      <w:bookmarkStart w:id="16" w:name="_Hlk103345864"/>
    </w:p>
    <w:bookmarkEnd w:id="16"/>
    <w:p w14:paraId="53D19A39" w14:textId="77777777" w:rsidR="00885182" w:rsidRPr="009716CD" w:rsidRDefault="00885182" w:rsidP="00173DCD">
      <w:pPr>
        <w:pStyle w:val="Pealkiri2"/>
        <w:numPr>
          <w:ilvl w:val="0"/>
          <w:numId w:val="0"/>
        </w:numPr>
        <w:ind w:left="709"/>
      </w:pPr>
    </w:p>
    <w:tbl>
      <w:tblPr>
        <w:tblStyle w:val="Kontuurtabel"/>
        <w:tblW w:w="9302" w:type="dxa"/>
        <w:tblLayout w:type="fixed"/>
        <w:tblLook w:val="04A0" w:firstRow="1" w:lastRow="0" w:firstColumn="1" w:lastColumn="0" w:noHBand="0" w:noVBand="1"/>
      </w:tblPr>
      <w:tblGrid>
        <w:gridCol w:w="1262"/>
        <w:gridCol w:w="624"/>
        <w:gridCol w:w="1511"/>
        <w:gridCol w:w="670"/>
        <w:gridCol w:w="1019"/>
        <w:gridCol w:w="1333"/>
        <w:gridCol w:w="1399"/>
        <w:gridCol w:w="1484"/>
      </w:tblGrid>
      <w:tr w:rsidR="003E681A" w:rsidRPr="009716CD" w14:paraId="0A0FEF76" w14:textId="77777777" w:rsidTr="00782365">
        <w:trPr>
          <w:trHeight w:val="643"/>
          <w:tblHeader/>
        </w:trPr>
        <w:tc>
          <w:tcPr>
            <w:tcW w:w="1886" w:type="dxa"/>
            <w:gridSpan w:val="2"/>
          </w:tcPr>
          <w:p w14:paraId="77FADFED" w14:textId="77777777" w:rsidR="003E681A" w:rsidRPr="009716CD" w:rsidRDefault="003E681A" w:rsidP="00B52F78">
            <w:pPr>
              <w:pStyle w:val="Pealkiri1"/>
              <w:numPr>
                <w:ilvl w:val="0"/>
                <w:numId w:val="0"/>
              </w:numPr>
              <w:ind w:left="425"/>
            </w:pPr>
          </w:p>
        </w:tc>
        <w:tc>
          <w:tcPr>
            <w:tcW w:w="1511" w:type="dxa"/>
          </w:tcPr>
          <w:p w14:paraId="6E6D7B89" w14:textId="45EB4C91" w:rsidR="003E681A" w:rsidRPr="009716CD" w:rsidRDefault="003E681A" w:rsidP="003E681A">
            <w:pPr>
              <w:jc w:val="both"/>
            </w:pPr>
            <w:r w:rsidRPr="009716CD">
              <w:rPr>
                <w:b/>
                <w:bCs/>
                <w:color w:val="000000" w:themeColor="text1"/>
                <w:sz w:val="20"/>
                <w:szCs w:val="20"/>
              </w:rPr>
              <w:t xml:space="preserve">Näitaja nimetus ja mõõtühik </w:t>
            </w:r>
          </w:p>
        </w:tc>
        <w:tc>
          <w:tcPr>
            <w:tcW w:w="670" w:type="dxa"/>
          </w:tcPr>
          <w:p w14:paraId="79291B18" w14:textId="10682B97" w:rsidR="003E681A" w:rsidRPr="009716CD" w:rsidRDefault="003E681A" w:rsidP="003E681A">
            <w:pPr>
              <w:jc w:val="both"/>
            </w:pPr>
            <w:r w:rsidRPr="009716CD">
              <w:rPr>
                <w:b/>
                <w:bCs/>
                <w:color w:val="000000" w:themeColor="text1"/>
                <w:sz w:val="20"/>
                <w:szCs w:val="20"/>
              </w:rPr>
              <w:t>Alg</w:t>
            </w:r>
            <w:r w:rsidR="00100471" w:rsidRPr="009716CD">
              <w:rPr>
                <w:b/>
                <w:bCs/>
                <w:color w:val="000000" w:themeColor="text1"/>
                <w:sz w:val="20"/>
                <w:szCs w:val="20"/>
              </w:rPr>
              <w:t>-</w:t>
            </w:r>
            <w:r w:rsidRPr="009716CD">
              <w:rPr>
                <w:b/>
                <w:bCs/>
                <w:color w:val="000000" w:themeColor="text1"/>
                <w:sz w:val="20"/>
                <w:szCs w:val="20"/>
              </w:rPr>
              <w:t>tase</w:t>
            </w:r>
          </w:p>
        </w:tc>
        <w:tc>
          <w:tcPr>
            <w:tcW w:w="1019" w:type="dxa"/>
          </w:tcPr>
          <w:p w14:paraId="39017050" w14:textId="7F5F527D" w:rsidR="003E681A" w:rsidRPr="009716CD" w:rsidRDefault="003E681A" w:rsidP="003E681A">
            <w:pPr>
              <w:jc w:val="both"/>
            </w:pPr>
            <w:r w:rsidRPr="009716CD">
              <w:rPr>
                <w:b/>
                <w:bCs/>
                <w:color w:val="000000" w:themeColor="text1"/>
                <w:sz w:val="20"/>
                <w:szCs w:val="20"/>
              </w:rPr>
              <w:t>Aasta</w:t>
            </w:r>
          </w:p>
        </w:tc>
        <w:tc>
          <w:tcPr>
            <w:tcW w:w="1333" w:type="dxa"/>
          </w:tcPr>
          <w:p w14:paraId="06EC7C53" w14:textId="54947ED5" w:rsidR="003E681A" w:rsidRPr="009716CD" w:rsidRDefault="003E681A" w:rsidP="003E681A">
            <w:pPr>
              <w:autoSpaceDE w:val="0"/>
              <w:autoSpaceDN w:val="0"/>
              <w:adjustRightInd w:val="0"/>
              <w:rPr>
                <w:b/>
                <w:bCs/>
                <w:color w:val="000000" w:themeColor="text1"/>
                <w:sz w:val="20"/>
                <w:szCs w:val="20"/>
              </w:rPr>
            </w:pPr>
            <w:r w:rsidRPr="009716CD">
              <w:rPr>
                <w:b/>
                <w:bCs/>
                <w:color w:val="000000" w:themeColor="text1"/>
                <w:sz w:val="20"/>
                <w:szCs w:val="20"/>
              </w:rPr>
              <w:t>Vahesihttase</w:t>
            </w:r>
            <w:r w:rsidR="004902D5" w:rsidRPr="009716CD">
              <w:rPr>
                <w:b/>
                <w:bCs/>
                <w:color w:val="000000" w:themeColor="text1"/>
                <w:sz w:val="20"/>
                <w:szCs w:val="20"/>
              </w:rPr>
              <w:t>(2024</w:t>
            </w:r>
            <w:r w:rsidR="00782365" w:rsidRPr="009716CD">
              <w:rPr>
                <w:b/>
                <w:bCs/>
                <w:color w:val="000000" w:themeColor="text1"/>
                <w:sz w:val="20"/>
                <w:szCs w:val="20"/>
              </w:rPr>
              <w:t>)</w:t>
            </w:r>
          </w:p>
          <w:p w14:paraId="058D94CD" w14:textId="77777777" w:rsidR="003E681A" w:rsidRPr="009716CD" w:rsidRDefault="003E681A" w:rsidP="003E681A">
            <w:pPr>
              <w:jc w:val="both"/>
            </w:pPr>
          </w:p>
        </w:tc>
        <w:tc>
          <w:tcPr>
            <w:tcW w:w="1399" w:type="dxa"/>
          </w:tcPr>
          <w:p w14:paraId="3B38F393" w14:textId="77777777" w:rsidR="003E681A" w:rsidRPr="009716CD" w:rsidRDefault="003E681A" w:rsidP="003E681A">
            <w:pPr>
              <w:autoSpaceDE w:val="0"/>
              <w:autoSpaceDN w:val="0"/>
              <w:adjustRightInd w:val="0"/>
              <w:jc w:val="both"/>
              <w:rPr>
                <w:b/>
                <w:bCs/>
                <w:color w:val="000000" w:themeColor="text1"/>
                <w:sz w:val="20"/>
                <w:szCs w:val="20"/>
              </w:rPr>
            </w:pPr>
            <w:r w:rsidRPr="009716CD">
              <w:rPr>
                <w:b/>
                <w:bCs/>
                <w:color w:val="000000" w:themeColor="text1"/>
                <w:sz w:val="20"/>
                <w:szCs w:val="20"/>
              </w:rPr>
              <w:t>Sihttase</w:t>
            </w:r>
          </w:p>
          <w:p w14:paraId="3874A3E7" w14:textId="5FD2A3D5" w:rsidR="003E681A" w:rsidRPr="009716CD" w:rsidRDefault="003E681A" w:rsidP="003E681A">
            <w:pPr>
              <w:jc w:val="both"/>
            </w:pPr>
            <w:r w:rsidRPr="009716CD">
              <w:rPr>
                <w:b/>
                <w:bCs/>
                <w:color w:val="000000" w:themeColor="text1"/>
                <w:sz w:val="20"/>
                <w:szCs w:val="20"/>
              </w:rPr>
              <w:t>(</w:t>
            </w:r>
            <w:r w:rsidR="004902D5" w:rsidRPr="009716CD">
              <w:rPr>
                <w:b/>
                <w:bCs/>
                <w:color w:val="000000" w:themeColor="text1"/>
                <w:sz w:val="20"/>
                <w:szCs w:val="20"/>
              </w:rPr>
              <w:t>2029</w:t>
            </w:r>
            <w:r w:rsidRPr="009716CD">
              <w:rPr>
                <w:b/>
                <w:bCs/>
                <w:color w:val="000000" w:themeColor="text1"/>
                <w:sz w:val="20"/>
                <w:szCs w:val="20"/>
              </w:rPr>
              <w:t>)</w:t>
            </w:r>
            <w:r w:rsidRPr="009716CD">
              <w:rPr>
                <w:bCs/>
                <w:i/>
                <w:color w:val="000000" w:themeColor="text1"/>
                <w:sz w:val="20"/>
                <w:szCs w:val="20"/>
              </w:rPr>
              <w:t xml:space="preserve"> </w:t>
            </w:r>
          </w:p>
        </w:tc>
        <w:tc>
          <w:tcPr>
            <w:tcW w:w="1484" w:type="dxa"/>
          </w:tcPr>
          <w:p w14:paraId="78B38D51" w14:textId="77777777" w:rsidR="003E681A" w:rsidRPr="009716CD" w:rsidRDefault="003E681A" w:rsidP="003E681A">
            <w:pPr>
              <w:autoSpaceDE w:val="0"/>
              <w:autoSpaceDN w:val="0"/>
              <w:adjustRightInd w:val="0"/>
              <w:jc w:val="both"/>
              <w:rPr>
                <w:b/>
                <w:bCs/>
                <w:color w:val="000000" w:themeColor="text1"/>
                <w:sz w:val="20"/>
                <w:szCs w:val="20"/>
              </w:rPr>
            </w:pPr>
            <w:r w:rsidRPr="009716CD">
              <w:rPr>
                <w:b/>
                <w:bCs/>
                <w:color w:val="000000" w:themeColor="text1"/>
                <w:sz w:val="20"/>
                <w:szCs w:val="20"/>
              </w:rPr>
              <w:t xml:space="preserve">Selgitav teave </w:t>
            </w:r>
          </w:p>
          <w:p w14:paraId="107C4280" w14:textId="2EE3FA7F" w:rsidR="003E681A" w:rsidRPr="009716CD" w:rsidRDefault="003E681A" w:rsidP="003E681A">
            <w:pPr>
              <w:jc w:val="both"/>
              <w:rPr>
                <w:i/>
              </w:rPr>
            </w:pPr>
          </w:p>
        </w:tc>
      </w:tr>
      <w:tr w:rsidR="008A082A" w:rsidRPr="009716CD" w14:paraId="39A179CF" w14:textId="77777777" w:rsidTr="005C194A">
        <w:trPr>
          <w:trHeight w:val="1324"/>
        </w:trPr>
        <w:tc>
          <w:tcPr>
            <w:tcW w:w="1262" w:type="dxa"/>
          </w:tcPr>
          <w:p w14:paraId="4072A133" w14:textId="0EAF8457" w:rsidR="008A082A" w:rsidRPr="009716CD" w:rsidRDefault="00671D5E" w:rsidP="008A082A">
            <w:pPr>
              <w:jc w:val="both"/>
              <w:rPr>
                <w:color w:val="000000" w:themeColor="text1"/>
                <w:sz w:val="20"/>
                <w:szCs w:val="20"/>
              </w:rPr>
            </w:pPr>
            <w:r w:rsidRPr="009716CD">
              <w:rPr>
                <w:color w:val="000000" w:themeColor="text1"/>
                <w:sz w:val="20"/>
                <w:szCs w:val="20"/>
              </w:rPr>
              <w:t>Meetmete nimekirja näitaja</w:t>
            </w:r>
          </w:p>
        </w:tc>
        <w:tc>
          <w:tcPr>
            <w:tcW w:w="624" w:type="dxa"/>
          </w:tcPr>
          <w:p w14:paraId="089EF2E7" w14:textId="77777777" w:rsidR="008A082A" w:rsidRPr="009716CD" w:rsidRDefault="008A082A" w:rsidP="008A082A">
            <w:pPr>
              <w:jc w:val="both"/>
              <w:rPr>
                <w:color w:val="000000" w:themeColor="text1"/>
                <w:sz w:val="20"/>
                <w:szCs w:val="20"/>
              </w:rPr>
            </w:pPr>
            <w:r w:rsidRPr="009716CD">
              <w:rPr>
                <w:color w:val="000000" w:themeColor="text1"/>
                <w:sz w:val="20"/>
                <w:szCs w:val="20"/>
              </w:rPr>
              <w:t>Väljundnäitaja</w:t>
            </w:r>
          </w:p>
        </w:tc>
        <w:tc>
          <w:tcPr>
            <w:tcW w:w="1511" w:type="dxa"/>
          </w:tcPr>
          <w:p w14:paraId="3B11C1EA" w14:textId="5235E434" w:rsidR="008A082A" w:rsidRPr="009716CD" w:rsidRDefault="009C7C1C" w:rsidP="008A082A">
            <w:pPr>
              <w:jc w:val="both"/>
              <w:rPr>
                <w:color w:val="000000" w:themeColor="text1"/>
                <w:sz w:val="20"/>
                <w:szCs w:val="20"/>
              </w:rPr>
            </w:pPr>
            <w:bookmarkStart w:id="17" w:name="_Hlk113543238"/>
            <w:r w:rsidRPr="009716CD">
              <w:rPr>
                <w:color w:val="000000" w:themeColor="text1"/>
                <w:sz w:val="20"/>
                <w:szCs w:val="20"/>
              </w:rPr>
              <w:t>KOV koordinaatorite arv</w:t>
            </w:r>
            <w:bookmarkEnd w:id="17"/>
          </w:p>
          <w:p w14:paraId="54D9456F" w14:textId="1E968A2E" w:rsidR="005C194A" w:rsidRPr="009716CD" w:rsidRDefault="005C194A" w:rsidP="008A082A">
            <w:pPr>
              <w:jc w:val="both"/>
              <w:rPr>
                <w:color w:val="000000" w:themeColor="text1"/>
                <w:sz w:val="20"/>
                <w:szCs w:val="20"/>
              </w:rPr>
            </w:pPr>
            <w:r w:rsidRPr="009716CD">
              <w:rPr>
                <w:color w:val="000000" w:themeColor="text1"/>
                <w:sz w:val="20"/>
                <w:szCs w:val="20"/>
              </w:rPr>
              <w:t>Mõõtühik: arv</w:t>
            </w:r>
          </w:p>
        </w:tc>
        <w:tc>
          <w:tcPr>
            <w:tcW w:w="670" w:type="dxa"/>
          </w:tcPr>
          <w:p w14:paraId="2E499209" w14:textId="7B7170D9" w:rsidR="008A082A" w:rsidRPr="009716CD" w:rsidRDefault="009C7C1C" w:rsidP="008A082A">
            <w:pPr>
              <w:jc w:val="both"/>
              <w:rPr>
                <w:color w:val="000000" w:themeColor="text1"/>
                <w:sz w:val="20"/>
                <w:szCs w:val="20"/>
              </w:rPr>
            </w:pPr>
            <w:r w:rsidRPr="009716CD">
              <w:rPr>
                <w:color w:val="000000" w:themeColor="text1"/>
                <w:sz w:val="20"/>
                <w:szCs w:val="20"/>
              </w:rPr>
              <w:t>0</w:t>
            </w:r>
          </w:p>
        </w:tc>
        <w:tc>
          <w:tcPr>
            <w:tcW w:w="1019" w:type="dxa"/>
          </w:tcPr>
          <w:p w14:paraId="57742D86" w14:textId="0E1E6B58" w:rsidR="008A082A" w:rsidRPr="009716CD" w:rsidRDefault="003D48E3" w:rsidP="008A082A">
            <w:pPr>
              <w:jc w:val="both"/>
              <w:rPr>
                <w:color w:val="000000" w:themeColor="text1"/>
                <w:sz w:val="20"/>
                <w:szCs w:val="20"/>
              </w:rPr>
            </w:pPr>
            <w:r w:rsidRPr="009716CD">
              <w:rPr>
                <w:color w:val="000000" w:themeColor="text1"/>
                <w:sz w:val="20"/>
                <w:szCs w:val="20"/>
              </w:rPr>
              <w:t>Ei kohaldu</w:t>
            </w:r>
          </w:p>
        </w:tc>
        <w:tc>
          <w:tcPr>
            <w:tcW w:w="1333" w:type="dxa"/>
          </w:tcPr>
          <w:p w14:paraId="1F0347BF" w14:textId="4A031D2C" w:rsidR="008A082A" w:rsidRPr="009716CD" w:rsidRDefault="009C7C1C" w:rsidP="008A082A">
            <w:pPr>
              <w:jc w:val="both"/>
              <w:rPr>
                <w:color w:val="000000" w:themeColor="text1"/>
                <w:sz w:val="20"/>
                <w:szCs w:val="20"/>
              </w:rPr>
            </w:pPr>
            <w:r w:rsidRPr="009716CD">
              <w:rPr>
                <w:color w:val="000000" w:themeColor="text1"/>
                <w:sz w:val="20"/>
                <w:szCs w:val="20"/>
              </w:rPr>
              <w:t>5</w:t>
            </w:r>
          </w:p>
        </w:tc>
        <w:tc>
          <w:tcPr>
            <w:tcW w:w="1399" w:type="dxa"/>
          </w:tcPr>
          <w:p w14:paraId="5BE42A99" w14:textId="7482FC2B" w:rsidR="008A082A" w:rsidRPr="009716CD" w:rsidRDefault="009C7C1C" w:rsidP="008A082A">
            <w:pPr>
              <w:jc w:val="both"/>
              <w:rPr>
                <w:color w:val="000000" w:themeColor="text1"/>
                <w:sz w:val="20"/>
                <w:szCs w:val="20"/>
              </w:rPr>
            </w:pPr>
            <w:r w:rsidRPr="009716CD">
              <w:rPr>
                <w:color w:val="000000" w:themeColor="text1"/>
                <w:sz w:val="20"/>
                <w:szCs w:val="20"/>
              </w:rPr>
              <w:t>7</w:t>
            </w:r>
          </w:p>
        </w:tc>
        <w:tc>
          <w:tcPr>
            <w:tcW w:w="1484" w:type="dxa"/>
          </w:tcPr>
          <w:p w14:paraId="5B4322F8" w14:textId="3E706B8E" w:rsidR="008A082A" w:rsidRPr="009716CD" w:rsidRDefault="00661021" w:rsidP="008A082A">
            <w:pPr>
              <w:jc w:val="both"/>
              <w:rPr>
                <w:color w:val="000000" w:themeColor="text1"/>
                <w:sz w:val="20"/>
                <w:szCs w:val="20"/>
              </w:rPr>
            </w:pPr>
            <w:r w:rsidRPr="009716CD">
              <w:rPr>
                <w:color w:val="000000" w:themeColor="text1"/>
                <w:sz w:val="20"/>
                <w:szCs w:val="20"/>
              </w:rPr>
              <w:t xml:space="preserve">Näitaja mõõdab täiskohaga töötavate </w:t>
            </w:r>
            <w:proofErr w:type="spellStart"/>
            <w:r w:rsidRPr="009716CD">
              <w:rPr>
                <w:color w:val="000000" w:themeColor="text1"/>
                <w:sz w:val="20"/>
                <w:szCs w:val="20"/>
              </w:rPr>
              <w:t>KOV</w:t>
            </w:r>
            <w:r w:rsidR="00100471" w:rsidRPr="009716CD">
              <w:rPr>
                <w:color w:val="000000" w:themeColor="text1"/>
                <w:sz w:val="20"/>
                <w:szCs w:val="20"/>
              </w:rPr>
              <w:t>-ide</w:t>
            </w:r>
            <w:proofErr w:type="spellEnd"/>
            <w:r w:rsidRPr="009716CD">
              <w:rPr>
                <w:color w:val="000000" w:themeColor="text1"/>
                <w:sz w:val="20"/>
                <w:szCs w:val="20"/>
              </w:rPr>
              <w:t xml:space="preserve"> koordinaatorite arvu,</w:t>
            </w:r>
            <w:bookmarkStart w:id="18" w:name="_Hlk113543285"/>
            <w:r w:rsidR="005443E6" w:rsidRPr="009716CD">
              <w:rPr>
                <w:color w:val="000000" w:themeColor="text1"/>
                <w:sz w:val="20"/>
                <w:szCs w:val="20"/>
              </w:rPr>
              <w:t xml:space="preserve"> </w:t>
            </w:r>
            <w:r w:rsidR="007B2062" w:rsidRPr="009716CD">
              <w:rPr>
                <w:color w:val="000000" w:themeColor="text1"/>
                <w:sz w:val="20"/>
                <w:szCs w:val="20"/>
              </w:rPr>
              <w:t xml:space="preserve">kes  koordineerivad </w:t>
            </w:r>
            <w:proofErr w:type="spellStart"/>
            <w:r w:rsidR="007B2062" w:rsidRPr="009716CD">
              <w:rPr>
                <w:color w:val="000000" w:themeColor="text1"/>
                <w:sz w:val="20"/>
                <w:szCs w:val="20"/>
              </w:rPr>
              <w:t>KOV</w:t>
            </w:r>
            <w:r w:rsidR="005D6FFC" w:rsidRPr="009716CD">
              <w:rPr>
                <w:color w:val="000000" w:themeColor="text1"/>
                <w:sz w:val="20"/>
                <w:szCs w:val="20"/>
              </w:rPr>
              <w:t>-</w:t>
            </w:r>
            <w:r w:rsidR="007B2062" w:rsidRPr="009716CD">
              <w:rPr>
                <w:color w:val="000000" w:themeColor="text1"/>
                <w:sz w:val="20"/>
                <w:szCs w:val="20"/>
              </w:rPr>
              <w:t>ides</w:t>
            </w:r>
            <w:proofErr w:type="spellEnd"/>
            <w:r w:rsidR="007B2062" w:rsidRPr="009716CD">
              <w:rPr>
                <w:color w:val="000000" w:themeColor="text1"/>
                <w:sz w:val="20"/>
                <w:szCs w:val="20"/>
              </w:rPr>
              <w:t xml:space="preserve"> lõimumist, sealhulgas kohanemist toetavate tegevuste pakkumist</w:t>
            </w:r>
            <w:bookmarkEnd w:id="18"/>
            <w:r w:rsidR="001023DC" w:rsidRPr="009716CD">
              <w:t xml:space="preserve"> </w:t>
            </w:r>
            <w:r w:rsidR="001023DC" w:rsidRPr="009716CD">
              <w:rPr>
                <w:color w:val="000000" w:themeColor="text1"/>
                <w:sz w:val="20"/>
                <w:szCs w:val="20"/>
              </w:rPr>
              <w:t>(punkt 3.5.1.1)</w:t>
            </w:r>
          </w:p>
        </w:tc>
      </w:tr>
      <w:tr w:rsidR="0008194B" w:rsidRPr="009716CD" w14:paraId="442F2DE6" w14:textId="77777777" w:rsidTr="005C194A">
        <w:trPr>
          <w:trHeight w:val="1324"/>
        </w:trPr>
        <w:tc>
          <w:tcPr>
            <w:tcW w:w="1262" w:type="dxa"/>
          </w:tcPr>
          <w:p w14:paraId="2CCF7FE5" w14:textId="7880829E" w:rsidR="0008194B" w:rsidRPr="009716CD" w:rsidRDefault="00196C46" w:rsidP="00100471">
            <w:pPr>
              <w:rPr>
                <w:color w:val="000000" w:themeColor="text1"/>
                <w:sz w:val="20"/>
                <w:szCs w:val="20"/>
              </w:rPr>
            </w:pPr>
            <w:r w:rsidRPr="009716CD">
              <w:rPr>
                <w:color w:val="000000" w:themeColor="text1"/>
                <w:sz w:val="20"/>
                <w:szCs w:val="20"/>
              </w:rPr>
              <w:t>TAT spetsiifilised näitajad</w:t>
            </w:r>
          </w:p>
        </w:tc>
        <w:tc>
          <w:tcPr>
            <w:tcW w:w="624" w:type="dxa"/>
          </w:tcPr>
          <w:p w14:paraId="2F6A2FFC" w14:textId="7628DCB9" w:rsidR="0008194B" w:rsidRPr="009716CD" w:rsidRDefault="007532E7" w:rsidP="008A082A">
            <w:pPr>
              <w:jc w:val="both"/>
              <w:rPr>
                <w:color w:val="000000" w:themeColor="text1"/>
                <w:sz w:val="20"/>
                <w:szCs w:val="20"/>
              </w:rPr>
            </w:pPr>
            <w:r w:rsidRPr="009716CD">
              <w:rPr>
                <w:color w:val="000000" w:themeColor="text1"/>
                <w:sz w:val="20"/>
                <w:szCs w:val="20"/>
              </w:rPr>
              <w:t>Väljund</w:t>
            </w:r>
            <w:r w:rsidR="001630C3" w:rsidRPr="009716CD">
              <w:rPr>
                <w:color w:val="000000" w:themeColor="text1"/>
                <w:sz w:val="20"/>
                <w:szCs w:val="20"/>
              </w:rPr>
              <w:t>-</w:t>
            </w:r>
            <w:r w:rsidRPr="009716CD">
              <w:rPr>
                <w:color w:val="000000" w:themeColor="text1"/>
                <w:sz w:val="20"/>
                <w:szCs w:val="20"/>
              </w:rPr>
              <w:t>näitaja</w:t>
            </w:r>
          </w:p>
        </w:tc>
        <w:tc>
          <w:tcPr>
            <w:tcW w:w="1511" w:type="dxa"/>
          </w:tcPr>
          <w:p w14:paraId="002CEC26" w14:textId="481C3D22" w:rsidR="0008194B" w:rsidRPr="009716CD" w:rsidRDefault="0008194B" w:rsidP="008A082A">
            <w:pPr>
              <w:jc w:val="both"/>
              <w:rPr>
                <w:color w:val="000000" w:themeColor="text1"/>
                <w:sz w:val="20"/>
                <w:szCs w:val="20"/>
              </w:rPr>
            </w:pPr>
            <w:bookmarkStart w:id="19" w:name="_Hlk181715518"/>
            <w:proofErr w:type="spellStart"/>
            <w:r w:rsidRPr="009716CD">
              <w:rPr>
                <w:color w:val="000000" w:themeColor="text1"/>
                <w:sz w:val="20"/>
                <w:szCs w:val="20"/>
              </w:rPr>
              <w:t>K</w:t>
            </w:r>
            <w:r w:rsidR="00D54A03" w:rsidRPr="009716CD">
              <w:rPr>
                <w:color w:val="000000" w:themeColor="text1"/>
                <w:sz w:val="20"/>
                <w:szCs w:val="20"/>
              </w:rPr>
              <w:t>OV</w:t>
            </w:r>
            <w:r w:rsidR="00100471" w:rsidRPr="009716CD">
              <w:rPr>
                <w:color w:val="000000" w:themeColor="text1"/>
                <w:sz w:val="20"/>
                <w:szCs w:val="20"/>
              </w:rPr>
              <w:t>-ide</w:t>
            </w:r>
            <w:proofErr w:type="spellEnd"/>
            <w:r w:rsidR="00100471" w:rsidRPr="009716CD">
              <w:rPr>
                <w:color w:val="000000" w:themeColor="text1"/>
                <w:sz w:val="20"/>
                <w:szCs w:val="20"/>
              </w:rPr>
              <w:t xml:space="preserve"> </w:t>
            </w:r>
            <w:r w:rsidR="00D54A03" w:rsidRPr="009716CD">
              <w:rPr>
                <w:color w:val="000000" w:themeColor="text1"/>
                <w:sz w:val="20"/>
                <w:szCs w:val="20"/>
              </w:rPr>
              <w:t>o</w:t>
            </w:r>
            <w:r w:rsidRPr="009716CD">
              <w:rPr>
                <w:color w:val="000000" w:themeColor="text1"/>
                <w:sz w:val="20"/>
                <w:szCs w:val="20"/>
              </w:rPr>
              <w:t>saluskogude arv</w:t>
            </w:r>
          </w:p>
          <w:bookmarkEnd w:id="19"/>
          <w:p w14:paraId="17BFAE71" w14:textId="0C48E218" w:rsidR="00EC21D7" w:rsidRPr="009716CD" w:rsidRDefault="00EC21D7" w:rsidP="008A082A">
            <w:pPr>
              <w:jc w:val="both"/>
              <w:rPr>
                <w:color w:val="000000" w:themeColor="text1"/>
                <w:sz w:val="20"/>
                <w:szCs w:val="20"/>
              </w:rPr>
            </w:pPr>
            <w:r w:rsidRPr="009716CD">
              <w:rPr>
                <w:color w:val="000000" w:themeColor="text1"/>
                <w:sz w:val="20"/>
                <w:szCs w:val="20"/>
              </w:rPr>
              <w:t xml:space="preserve">Mõõtühik: </w:t>
            </w:r>
            <w:r w:rsidR="00D54A03" w:rsidRPr="009716CD">
              <w:rPr>
                <w:color w:val="000000" w:themeColor="text1"/>
                <w:sz w:val="20"/>
                <w:szCs w:val="20"/>
              </w:rPr>
              <w:t>arv</w:t>
            </w:r>
          </w:p>
        </w:tc>
        <w:tc>
          <w:tcPr>
            <w:tcW w:w="670" w:type="dxa"/>
          </w:tcPr>
          <w:p w14:paraId="2F93DB00" w14:textId="40E02C4D" w:rsidR="0008194B" w:rsidRPr="009716CD" w:rsidRDefault="0008194B" w:rsidP="008A082A">
            <w:pPr>
              <w:jc w:val="both"/>
              <w:rPr>
                <w:color w:val="000000" w:themeColor="text1"/>
                <w:sz w:val="20"/>
                <w:szCs w:val="20"/>
              </w:rPr>
            </w:pPr>
            <w:r w:rsidRPr="009716CD">
              <w:rPr>
                <w:color w:val="000000" w:themeColor="text1"/>
                <w:sz w:val="20"/>
                <w:szCs w:val="20"/>
              </w:rPr>
              <w:t>0</w:t>
            </w:r>
          </w:p>
        </w:tc>
        <w:tc>
          <w:tcPr>
            <w:tcW w:w="1019" w:type="dxa"/>
          </w:tcPr>
          <w:p w14:paraId="56456072" w14:textId="75D96C3E" w:rsidR="0008194B" w:rsidRPr="009716CD" w:rsidRDefault="0008194B" w:rsidP="008A082A">
            <w:pPr>
              <w:jc w:val="both"/>
              <w:rPr>
                <w:color w:val="000000" w:themeColor="text1"/>
                <w:sz w:val="20"/>
                <w:szCs w:val="20"/>
              </w:rPr>
            </w:pPr>
            <w:r w:rsidRPr="009716CD">
              <w:rPr>
                <w:color w:val="000000" w:themeColor="text1"/>
                <w:sz w:val="20"/>
                <w:szCs w:val="20"/>
              </w:rPr>
              <w:t>Ei kohaldu</w:t>
            </w:r>
          </w:p>
        </w:tc>
        <w:tc>
          <w:tcPr>
            <w:tcW w:w="1333" w:type="dxa"/>
          </w:tcPr>
          <w:p w14:paraId="3E91E043" w14:textId="1B2059E4" w:rsidR="0008194B" w:rsidRPr="009716CD" w:rsidRDefault="00EE50E3" w:rsidP="008A082A">
            <w:pPr>
              <w:jc w:val="both"/>
              <w:rPr>
                <w:color w:val="000000" w:themeColor="text1"/>
                <w:sz w:val="20"/>
                <w:szCs w:val="20"/>
              </w:rPr>
            </w:pPr>
            <w:r w:rsidRPr="009716CD">
              <w:rPr>
                <w:color w:val="000000" w:themeColor="text1"/>
                <w:sz w:val="20"/>
                <w:szCs w:val="20"/>
              </w:rPr>
              <w:t>2</w:t>
            </w:r>
          </w:p>
        </w:tc>
        <w:tc>
          <w:tcPr>
            <w:tcW w:w="1399" w:type="dxa"/>
          </w:tcPr>
          <w:p w14:paraId="7D5544ED" w14:textId="6FA07F8D" w:rsidR="0008194B" w:rsidRPr="009716CD" w:rsidRDefault="00630D97" w:rsidP="008A082A">
            <w:pPr>
              <w:jc w:val="both"/>
              <w:rPr>
                <w:color w:val="000000" w:themeColor="text1"/>
                <w:sz w:val="20"/>
                <w:szCs w:val="20"/>
              </w:rPr>
            </w:pPr>
            <w:r w:rsidRPr="009716CD">
              <w:rPr>
                <w:color w:val="000000" w:themeColor="text1"/>
                <w:sz w:val="20"/>
                <w:szCs w:val="20"/>
              </w:rPr>
              <w:t>7</w:t>
            </w:r>
          </w:p>
        </w:tc>
        <w:tc>
          <w:tcPr>
            <w:tcW w:w="1484" w:type="dxa"/>
          </w:tcPr>
          <w:p w14:paraId="4B422917" w14:textId="7060AE0D" w:rsidR="0008194B" w:rsidRPr="009716CD" w:rsidRDefault="0008194B" w:rsidP="008A082A">
            <w:pPr>
              <w:jc w:val="both"/>
              <w:rPr>
                <w:color w:val="000000" w:themeColor="text1"/>
                <w:sz w:val="20"/>
                <w:szCs w:val="20"/>
              </w:rPr>
            </w:pPr>
            <w:bookmarkStart w:id="20" w:name="_Hlk181715536"/>
            <w:r w:rsidRPr="009716CD">
              <w:rPr>
                <w:color w:val="000000" w:themeColor="text1"/>
                <w:sz w:val="20"/>
                <w:szCs w:val="20"/>
              </w:rPr>
              <w:t xml:space="preserve">Näitaja mõõdab kohalikul tasandil </w:t>
            </w:r>
            <w:r w:rsidR="00576E8E" w:rsidRPr="009716CD">
              <w:rPr>
                <w:color w:val="000000" w:themeColor="text1"/>
                <w:sz w:val="20"/>
                <w:szCs w:val="20"/>
              </w:rPr>
              <w:t xml:space="preserve">käivitatud sihtrühmade </w:t>
            </w:r>
            <w:r w:rsidRPr="009716CD">
              <w:rPr>
                <w:color w:val="000000" w:themeColor="text1"/>
                <w:sz w:val="20"/>
                <w:szCs w:val="20"/>
              </w:rPr>
              <w:t>osaluskogude arv</w:t>
            </w:r>
            <w:r w:rsidR="00196C46" w:rsidRPr="009716CD">
              <w:rPr>
                <w:color w:val="000000" w:themeColor="text1"/>
                <w:sz w:val="20"/>
                <w:szCs w:val="20"/>
              </w:rPr>
              <w:t>u</w:t>
            </w:r>
            <w:r w:rsidRPr="009716CD">
              <w:rPr>
                <w:color w:val="000000" w:themeColor="text1"/>
                <w:sz w:val="20"/>
                <w:szCs w:val="20"/>
              </w:rPr>
              <w:t xml:space="preserve">  </w:t>
            </w:r>
            <w:r w:rsidR="001023DC" w:rsidRPr="009716CD">
              <w:rPr>
                <w:color w:val="000000" w:themeColor="text1"/>
                <w:sz w:val="20"/>
                <w:szCs w:val="20"/>
              </w:rPr>
              <w:t>(</w:t>
            </w:r>
            <w:r w:rsidR="00CE6960" w:rsidRPr="009716CD">
              <w:rPr>
                <w:color w:val="000000" w:themeColor="text1"/>
                <w:sz w:val="20"/>
                <w:szCs w:val="20"/>
              </w:rPr>
              <w:t>punkt 3.5.2.1.</w:t>
            </w:r>
            <w:r w:rsidR="009F6D53" w:rsidRPr="009716CD">
              <w:rPr>
                <w:color w:val="000000" w:themeColor="text1"/>
                <w:sz w:val="20"/>
                <w:szCs w:val="20"/>
              </w:rPr>
              <w:t>1</w:t>
            </w:r>
            <w:r w:rsidR="001023DC" w:rsidRPr="009716CD">
              <w:rPr>
                <w:color w:val="000000" w:themeColor="text1"/>
                <w:sz w:val="20"/>
                <w:szCs w:val="20"/>
              </w:rPr>
              <w:t>).</w:t>
            </w:r>
            <w:bookmarkEnd w:id="20"/>
          </w:p>
        </w:tc>
      </w:tr>
      <w:tr w:rsidR="000F1E85" w:rsidRPr="009716CD" w14:paraId="5F1345D8" w14:textId="77777777" w:rsidTr="00AC1E62">
        <w:trPr>
          <w:trHeight w:val="946"/>
        </w:trPr>
        <w:tc>
          <w:tcPr>
            <w:tcW w:w="1262" w:type="dxa"/>
          </w:tcPr>
          <w:p w14:paraId="58FA57AF" w14:textId="751FDE88" w:rsidR="000F1E85" w:rsidRPr="009716CD" w:rsidRDefault="000F1E85" w:rsidP="00100471">
            <w:pPr>
              <w:rPr>
                <w:color w:val="000000" w:themeColor="text1"/>
                <w:sz w:val="20"/>
                <w:szCs w:val="20"/>
              </w:rPr>
            </w:pPr>
            <w:r w:rsidRPr="009716CD">
              <w:rPr>
                <w:color w:val="000000" w:themeColor="text1"/>
                <w:sz w:val="20"/>
                <w:szCs w:val="20"/>
              </w:rPr>
              <w:t>TAT spetsiifilised näitajad</w:t>
            </w:r>
          </w:p>
        </w:tc>
        <w:tc>
          <w:tcPr>
            <w:tcW w:w="624" w:type="dxa"/>
          </w:tcPr>
          <w:p w14:paraId="1702C7E4" w14:textId="18A89813" w:rsidR="000F1E85" w:rsidRPr="009716CD" w:rsidRDefault="000F1E85" w:rsidP="008A082A">
            <w:pPr>
              <w:jc w:val="both"/>
              <w:rPr>
                <w:color w:val="000000" w:themeColor="text1"/>
                <w:sz w:val="20"/>
                <w:szCs w:val="20"/>
              </w:rPr>
            </w:pPr>
            <w:r w:rsidRPr="009716CD">
              <w:rPr>
                <w:color w:val="000000" w:themeColor="text1"/>
                <w:sz w:val="20"/>
                <w:szCs w:val="20"/>
              </w:rPr>
              <w:t>Väljund</w:t>
            </w:r>
            <w:r w:rsidR="001630C3" w:rsidRPr="009716CD">
              <w:rPr>
                <w:color w:val="000000" w:themeColor="text1"/>
                <w:sz w:val="20"/>
                <w:szCs w:val="20"/>
              </w:rPr>
              <w:t>-n</w:t>
            </w:r>
            <w:r w:rsidRPr="009716CD">
              <w:rPr>
                <w:color w:val="000000" w:themeColor="text1"/>
                <w:sz w:val="20"/>
                <w:szCs w:val="20"/>
              </w:rPr>
              <w:t>äitaja</w:t>
            </w:r>
          </w:p>
        </w:tc>
        <w:tc>
          <w:tcPr>
            <w:tcW w:w="1511" w:type="dxa"/>
          </w:tcPr>
          <w:p w14:paraId="6AD48D12" w14:textId="2C9EA4D9" w:rsidR="000F1E85" w:rsidRPr="009716CD" w:rsidRDefault="000F1E85" w:rsidP="008A082A">
            <w:pPr>
              <w:jc w:val="both"/>
              <w:rPr>
                <w:color w:val="000000" w:themeColor="text1"/>
                <w:sz w:val="20"/>
                <w:szCs w:val="20"/>
              </w:rPr>
            </w:pPr>
            <w:bookmarkStart w:id="21" w:name="_Hlk181715576"/>
            <w:r w:rsidRPr="009716CD">
              <w:rPr>
                <w:color w:val="000000" w:themeColor="text1"/>
                <w:sz w:val="20"/>
                <w:szCs w:val="20"/>
              </w:rPr>
              <w:t xml:space="preserve">Kohaliku tasandi </w:t>
            </w:r>
            <w:r w:rsidR="00EA6EFC" w:rsidRPr="009716CD">
              <w:rPr>
                <w:color w:val="000000" w:themeColor="text1"/>
                <w:sz w:val="20"/>
                <w:szCs w:val="20"/>
              </w:rPr>
              <w:t>koostöövõrgus</w:t>
            </w:r>
            <w:r w:rsidR="00134F4D" w:rsidRPr="009716CD">
              <w:rPr>
                <w:color w:val="000000" w:themeColor="text1"/>
                <w:sz w:val="20"/>
                <w:szCs w:val="20"/>
              </w:rPr>
              <w:t>-</w:t>
            </w:r>
            <w:r w:rsidR="00EA6EFC" w:rsidRPr="009716CD">
              <w:rPr>
                <w:color w:val="000000" w:themeColor="text1"/>
                <w:sz w:val="20"/>
                <w:szCs w:val="20"/>
              </w:rPr>
              <w:t>tike</w:t>
            </w:r>
            <w:r w:rsidRPr="009716CD">
              <w:rPr>
                <w:color w:val="000000" w:themeColor="text1"/>
                <w:sz w:val="20"/>
                <w:szCs w:val="20"/>
              </w:rPr>
              <w:t xml:space="preserve"> arv</w:t>
            </w:r>
          </w:p>
          <w:bookmarkEnd w:id="21"/>
          <w:p w14:paraId="60BB3E35" w14:textId="7BBA476F" w:rsidR="00EC21D7" w:rsidRPr="009716CD" w:rsidRDefault="00EC21D7" w:rsidP="008A082A">
            <w:pPr>
              <w:jc w:val="both"/>
              <w:rPr>
                <w:color w:val="000000" w:themeColor="text1"/>
                <w:sz w:val="20"/>
                <w:szCs w:val="20"/>
              </w:rPr>
            </w:pPr>
            <w:r w:rsidRPr="009716CD">
              <w:rPr>
                <w:color w:val="000000" w:themeColor="text1"/>
                <w:sz w:val="20"/>
                <w:szCs w:val="20"/>
              </w:rPr>
              <w:t>Mõõtühik:</w:t>
            </w:r>
            <w:r w:rsidR="005D6FFC" w:rsidRPr="009716CD">
              <w:rPr>
                <w:color w:val="000000" w:themeColor="text1"/>
                <w:sz w:val="20"/>
                <w:szCs w:val="20"/>
              </w:rPr>
              <w:t xml:space="preserve"> </w:t>
            </w:r>
            <w:r w:rsidR="00D54A03" w:rsidRPr="009716CD">
              <w:rPr>
                <w:color w:val="000000" w:themeColor="text1"/>
                <w:sz w:val="20"/>
                <w:szCs w:val="20"/>
              </w:rPr>
              <w:t>arv</w:t>
            </w:r>
          </w:p>
        </w:tc>
        <w:tc>
          <w:tcPr>
            <w:tcW w:w="670" w:type="dxa"/>
          </w:tcPr>
          <w:p w14:paraId="0A4E62EE" w14:textId="0F80227E" w:rsidR="000F1E85" w:rsidRPr="009716CD" w:rsidRDefault="000F1E85" w:rsidP="008A082A">
            <w:pPr>
              <w:jc w:val="both"/>
              <w:rPr>
                <w:color w:val="000000" w:themeColor="text1"/>
                <w:sz w:val="20"/>
                <w:szCs w:val="20"/>
              </w:rPr>
            </w:pPr>
            <w:r w:rsidRPr="009716CD">
              <w:rPr>
                <w:color w:val="000000" w:themeColor="text1"/>
                <w:sz w:val="20"/>
                <w:szCs w:val="20"/>
              </w:rPr>
              <w:t>0</w:t>
            </w:r>
          </w:p>
        </w:tc>
        <w:tc>
          <w:tcPr>
            <w:tcW w:w="1019" w:type="dxa"/>
          </w:tcPr>
          <w:p w14:paraId="7C35F89C" w14:textId="48B6BF65" w:rsidR="000F1E85" w:rsidRPr="009716CD" w:rsidRDefault="00EA6EFC" w:rsidP="008A082A">
            <w:pPr>
              <w:jc w:val="both"/>
              <w:rPr>
                <w:color w:val="000000" w:themeColor="text1"/>
                <w:sz w:val="20"/>
                <w:szCs w:val="20"/>
              </w:rPr>
            </w:pPr>
            <w:r w:rsidRPr="009716CD">
              <w:rPr>
                <w:color w:val="000000" w:themeColor="text1"/>
                <w:sz w:val="20"/>
                <w:szCs w:val="20"/>
              </w:rPr>
              <w:t>Ei kohaldu</w:t>
            </w:r>
          </w:p>
        </w:tc>
        <w:tc>
          <w:tcPr>
            <w:tcW w:w="1333" w:type="dxa"/>
          </w:tcPr>
          <w:p w14:paraId="3D8F62B2" w14:textId="41B7FAB7" w:rsidR="000F1E85" w:rsidRPr="009716CD" w:rsidRDefault="000F1E85" w:rsidP="008A082A">
            <w:pPr>
              <w:jc w:val="both"/>
              <w:rPr>
                <w:color w:val="000000" w:themeColor="text1"/>
                <w:sz w:val="20"/>
                <w:szCs w:val="20"/>
              </w:rPr>
            </w:pPr>
            <w:r w:rsidRPr="009716CD">
              <w:rPr>
                <w:color w:val="000000" w:themeColor="text1"/>
                <w:sz w:val="20"/>
                <w:szCs w:val="20"/>
              </w:rPr>
              <w:t>2</w:t>
            </w:r>
          </w:p>
        </w:tc>
        <w:tc>
          <w:tcPr>
            <w:tcW w:w="1399" w:type="dxa"/>
          </w:tcPr>
          <w:p w14:paraId="40CA2167" w14:textId="6B77B809" w:rsidR="000F1E85" w:rsidRPr="009716CD" w:rsidRDefault="00630D97" w:rsidP="008A082A">
            <w:pPr>
              <w:jc w:val="both"/>
              <w:rPr>
                <w:color w:val="000000" w:themeColor="text1"/>
                <w:sz w:val="20"/>
                <w:szCs w:val="20"/>
              </w:rPr>
            </w:pPr>
            <w:r w:rsidRPr="009716CD">
              <w:rPr>
                <w:color w:val="000000" w:themeColor="text1"/>
                <w:sz w:val="20"/>
                <w:szCs w:val="20"/>
              </w:rPr>
              <w:t>7</w:t>
            </w:r>
          </w:p>
        </w:tc>
        <w:tc>
          <w:tcPr>
            <w:tcW w:w="1484" w:type="dxa"/>
          </w:tcPr>
          <w:p w14:paraId="257044FC" w14:textId="118D9007" w:rsidR="000F1E85" w:rsidRPr="009716CD" w:rsidRDefault="000F1E85" w:rsidP="008A082A">
            <w:pPr>
              <w:jc w:val="both"/>
              <w:rPr>
                <w:color w:val="000000" w:themeColor="text1"/>
                <w:sz w:val="20"/>
                <w:szCs w:val="20"/>
              </w:rPr>
            </w:pPr>
            <w:bookmarkStart w:id="22" w:name="_Hlk134550954"/>
            <w:r w:rsidRPr="009716CD">
              <w:rPr>
                <w:color w:val="000000" w:themeColor="text1"/>
                <w:sz w:val="20"/>
                <w:szCs w:val="20"/>
              </w:rPr>
              <w:t xml:space="preserve">Näitaja mõõdab kohalikul tasandil tegutsevate ja toimivate </w:t>
            </w:r>
            <w:r w:rsidR="00EA6EFC" w:rsidRPr="009716CD">
              <w:rPr>
                <w:color w:val="000000" w:themeColor="text1"/>
                <w:sz w:val="20"/>
                <w:szCs w:val="20"/>
              </w:rPr>
              <w:t>koostöö</w:t>
            </w:r>
            <w:r w:rsidRPr="009716CD">
              <w:rPr>
                <w:color w:val="000000" w:themeColor="text1"/>
                <w:sz w:val="20"/>
                <w:szCs w:val="20"/>
              </w:rPr>
              <w:t>võrgust</w:t>
            </w:r>
            <w:r w:rsidRPr="009716CD">
              <w:rPr>
                <w:color w:val="000000" w:themeColor="text1"/>
                <w:sz w:val="20"/>
                <w:szCs w:val="20"/>
              </w:rPr>
              <w:lastRenderedPageBreak/>
              <w:t>ike arvu, kuhu kuuluvad valdkondlik</w:t>
            </w:r>
            <w:r w:rsidR="00FF6FC9" w:rsidRPr="009716CD">
              <w:rPr>
                <w:color w:val="000000" w:themeColor="text1"/>
                <w:sz w:val="20"/>
                <w:szCs w:val="20"/>
              </w:rPr>
              <w:t>e</w:t>
            </w:r>
            <w:r w:rsidRPr="009716CD">
              <w:rPr>
                <w:color w:val="000000" w:themeColor="text1"/>
                <w:sz w:val="20"/>
                <w:szCs w:val="20"/>
              </w:rPr>
              <w:t xml:space="preserve"> sidusrühmade esindajad</w:t>
            </w:r>
            <w:r w:rsidR="001023DC" w:rsidRPr="009716CD">
              <w:t xml:space="preserve"> </w:t>
            </w:r>
            <w:r w:rsidR="001023DC" w:rsidRPr="009716CD">
              <w:rPr>
                <w:color w:val="000000" w:themeColor="text1"/>
                <w:sz w:val="20"/>
                <w:szCs w:val="20"/>
              </w:rPr>
              <w:t>(</w:t>
            </w:r>
            <w:r w:rsidR="00CE6960" w:rsidRPr="009716CD">
              <w:rPr>
                <w:color w:val="000000" w:themeColor="text1"/>
                <w:sz w:val="20"/>
                <w:szCs w:val="20"/>
              </w:rPr>
              <w:t>punkt 3.5.2.1.</w:t>
            </w:r>
            <w:r w:rsidR="009F6D53" w:rsidRPr="009716CD">
              <w:rPr>
                <w:color w:val="000000" w:themeColor="text1"/>
                <w:sz w:val="20"/>
                <w:szCs w:val="20"/>
              </w:rPr>
              <w:t>4</w:t>
            </w:r>
            <w:r w:rsidR="001023DC" w:rsidRPr="009716CD">
              <w:rPr>
                <w:color w:val="000000" w:themeColor="text1"/>
                <w:sz w:val="20"/>
                <w:szCs w:val="20"/>
              </w:rPr>
              <w:t>).</w:t>
            </w:r>
            <w:bookmarkEnd w:id="22"/>
          </w:p>
        </w:tc>
      </w:tr>
      <w:tr w:rsidR="00EA6EFC" w:rsidRPr="009716CD" w14:paraId="24CE5847" w14:textId="77777777" w:rsidTr="005C194A">
        <w:trPr>
          <w:trHeight w:val="1324"/>
        </w:trPr>
        <w:tc>
          <w:tcPr>
            <w:tcW w:w="1262" w:type="dxa"/>
          </w:tcPr>
          <w:p w14:paraId="3CFA50C2" w14:textId="62A9006A" w:rsidR="00EA6EFC" w:rsidRPr="009716CD" w:rsidRDefault="00EA6EFC" w:rsidP="00100471">
            <w:pPr>
              <w:rPr>
                <w:color w:val="000000" w:themeColor="text1"/>
                <w:sz w:val="20"/>
                <w:szCs w:val="20"/>
              </w:rPr>
            </w:pPr>
            <w:r w:rsidRPr="009716CD">
              <w:rPr>
                <w:color w:val="000000" w:themeColor="text1"/>
                <w:sz w:val="20"/>
                <w:szCs w:val="20"/>
              </w:rPr>
              <w:lastRenderedPageBreak/>
              <w:t>TAT spetsiifilised näitajad</w:t>
            </w:r>
          </w:p>
        </w:tc>
        <w:tc>
          <w:tcPr>
            <w:tcW w:w="624" w:type="dxa"/>
          </w:tcPr>
          <w:p w14:paraId="69F8EC81" w14:textId="5E804465" w:rsidR="00EA6EFC" w:rsidRPr="009716CD" w:rsidRDefault="00EA6EFC" w:rsidP="008A082A">
            <w:pPr>
              <w:jc w:val="both"/>
              <w:rPr>
                <w:color w:val="000000" w:themeColor="text1"/>
                <w:sz w:val="20"/>
                <w:szCs w:val="20"/>
              </w:rPr>
            </w:pPr>
            <w:r w:rsidRPr="009716CD">
              <w:rPr>
                <w:color w:val="000000" w:themeColor="text1"/>
                <w:sz w:val="20"/>
                <w:szCs w:val="20"/>
              </w:rPr>
              <w:t>Väljund</w:t>
            </w:r>
            <w:r w:rsidR="001630C3" w:rsidRPr="009716CD">
              <w:rPr>
                <w:color w:val="000000" w:themeColor="text1"/>
                <w:sz w:val="20"/>
                <w:szCs w:val="20"/>
              </w:rPr>
              <w:t>-</w:t>
            </w:r>
            <w:r w:rsidRPr="009716CD">
              <w:rPr>
                <w:color w:val="000000" w:themeColor="text1"/>
                <w:sz w:val="20"/>
                <w:szCs w:val="20"/>
              </w:rPr>
              <w:t>näitaja</w:t>
            </w:r>
          </w:p>
        </w:tc>
        <w:tc>
          <w:tcPr>
            <w:tcW w:w="1511" w:type="dxa"/>
          </w:tcPr>
          <w:p w14:paraId="43C4C337" w14:textId="5D26F06C" w:rsidR="00EA6EFC" w:rsidRPr="009716CD" w:rsidRDefault="00EA6EFC" w:rsidP="008A082A">
            <w:pPr>
              <w:jc w:val="both"/>
              <w:rPr>
                <w:color w:val="000000" w:themeColor="text1"/>
                <w:sz w:val="20"/>
                <w:szCs w:val="20"/>
              </w:rPr>
            </w:pPr>
            <w:bookmarkStart w:id="23" w:name="_Hlk134550973"/>
            <w:proofErr w:type="spellStart"/>
            <w:r w:rsidRPr="009716CD">
              <w:rPr>
                <w:color w:val="000000" w:themeColor="text1"/>
                <w:sz w:val="20"/>
                <w:szCs w:val="20"/>
              </w:rPr>
              <w:t>KOV-ide</w:t>
            </w:r>
            <w:proofErr w:type="spellEnd"/>
            <w:r w:rsidRPr="009716CD">
              <w:rPr>
                <w:color w:val="000000" w:themeColor="text1"/>
                <w:sz w:val="20"/>
                <w:szCs w:val="20"/>
              </w:rPr>
              <w:t xml:space="preserve"> arv, kus on rakendatud lõimumis- ja kohanemistee</w:t>
            </w:r>
            <w:r w:rsidR="00134F4D" w:rsidRPr="009716CD">
              <w:rPr>
                <w:color w:val="000000" w:themeColor="text1"/>
                <w:sz w:val="20"/>
                <w:szCs w:val="20"/>
              </w:rPr>
              <w:t>-</w:t>
            </w:r>
            <w:proofErr w:type="spellStart"/>
            <w:r w:rsidRPr="009716CD">
              <w:rPr>
                <w:color w:val="000000" w:themeColor="text1"/>
                <w:sz w:val="20"/>
                <w:szCs w:val="20"/>
              </w:rPr>
              <w:t>kondade</w:t>
            </w:r>
            <w:proofErr w:type="spellEnd"/>
            <w:r w:rsidRPr="009716CD">
              <w:rPr>
                <w:color w:val="000000" w:themeColor="text1"/>
                <w:sz w:val="20"/>
                <w:szCs w:val="20"/>
              </w:rPr>
              <w:t xml:space="preserve"> mudelit</w:t>
            </w:r>
          </w:p>
          <w:bookmarkEnd w:id="23"/>
          <w:p w14:paraId="0D95FC64" w14:textId="7292DE34" w:rsidR="00EC21D7" w:rsidRPr="009716CD" w:rsidRDefault="00EC21D7" w:rsidP="008A082A">
            <w:pPr>
              <w:jc w:val="both"/>
              <w:rPr>
                <w:color w:val="000000" w:themeColor="text1"/>
                <w:sz w:val="20"/>
                <w:szCs w:val="20"/>
              </w:rPr>
            </w:pPr>
            <w:r w:rsidRPr="009716CD">
              <w:rPr>
                <w:color w:val="000000" w:themeColor="text1"/>
                <w:sz w:val="20"/>
                <w:szCs w:val="20"/>
              </w:rPr>
              <w:t>Mõõtühik:</w:t>
            </w:r>
            <w:r w:rsidR="00D54A03" w:rsidRPr="009716CD">
              <w:rPr>
                <w:color w:val="000000" w:themeColor="text1"/>
                <w:sz w:val="20"/>
                <w:szCs w:val="20"/>
              </w:rPr>
              <w:t xml:space="preserve"> arv</w:t>
            </w:r>
          </w:p>
        </w:tc>
        <w:tc>
          <w:tcPr>
            <w:tcW w:w="670" w:type="dxa"/>
          </w:tcPr>
          <w:p w14:paraId="4E002E8B" w14:textId="472FBD5B" w:rsidR="00EA6EFC" w:rsidRPr="009716CD" w:rsidRDefault="00EA6EFC" w:rsidP="008A082A">
            <w:pPr>
              <w:jc w:val="both"/>
              <w:rPr>
                <w:color w:val="000000" w:themeColor="text1"/>
                <w:sz w:val="20"/>
                <w:szCs w:val="20"/>
              </w:rPr>
            </w:pPr>
            <w:r w:rsidRPr="009716CD">
              <w:rPr>
                <w:color w:val="000000" w:themeColor="text1"/>
                <w:sz w:val="20"/>
                <w:szCs w:val="20"/>
              </w:rPr>
              <w:t>0</w:t>
            </w:r>
          </w:p>
        </w:tc>
        <w:tc>
          <w:tcPr>
            <w:tcW w:w="1019" w:type="dxa"/>
          </w:tcPr>
          <w:p w14:paraId="78065665" w14:textId="545C5291" w:rsidR="00EA6EFC" w:rsidRPr="009716CD" w:rsidRDefault="00EA6EFC" w:rsidP="008A082A">
            <w:pPr>
              <w:jc w:val="both"/>
              <w:rPr>
                <w:color w:val="000000" w:themeColor="text1"/>
                <w:sz w:val="20"/>
                <w:szCs w:val="20"/>
              </w:rPr>
            </w:pPr>
            <w:r w:rsidRPr="009716CD">
              <w:rPr>
                <w:color w:val="000000" w:themeColor="text1"/>
                <w:sz w:val="20"/>
                <w:szCs w:val="20"/>
              </w:rPr>
              <w:t>Ei kohaldu</w:t>
            </w:r>
          </w:p>
        </w:tc>
        <w:tc>
          <w:tcPr>
            <w:tcW w:w="1333" w:type="dxa"/>
          </w:tcPr>
          <w:p w14:paraId="262D60F8" w14:textId="784E9560" w:rsidR="00EA6EFC" w:rsidRPr="009716CD" w:rsidRDefault="003A2024" w:rsidP="008A082A">
            <w:pPr>
              <w:jc w:val="both"/>
              <w:rPr>
                <w:color w:val="000000" w:themeColor="text1"/>
                <w:sz w:val="20"/>
                <w:szCs w:val="20"/>
              </w:rPr>
            </w:pPr>
            <w:r w:rsidRPr="009716CD">
              <w:rPr>
                <w:color w:val="000000" w:themeColor="text1"/>
                <w:sz w:val="20"/>
                <w:szCs w:val="20"/>
              </w:rPr>
              <w:t>0</w:t>
            </w:r>
          </w:p>
        </w:tc>
        <w:tc>
          <w:tcPr>
            <w:tcW w:w="1399" w:type="dxa"/>
          </w:tcPr>
          <w:p w14:paraId="35EDE2BC" w14:textId="548C3669" w:rsidR="00EA6EFC" w:rsidRPr="009716CD" w:rsidRDefault="00EA6EFC" w:rsidP="008A082A">
            <w:pPr>
              <w:jc w:val="both"/>
              <w:rPr>
                <w:color w:val="000000" w:themeColor="text1"/>
                <w:sz w:val="20"/>
                <w:szCs w:val="20"/>
              </w:rPr>
            </w:pPr>
            <w:r w:rsidRPr="009716CD">
              <w:rPr>
                <w:color w:val="000000" w:themeColor="text1"/>
                <w:sz w:val="20"/>
                <w:szCs w:val="20"/>
              </w:rPr>
              <w:t>7</w:t>
            </w:r>
          </w:p>
        </w:tc>
        <w:tc>
          <w:tcPr>
            <w:tcW w:w="1484" w:type="dxa"/>
          </w:tcPr>
          <w:p w14:paraId="02201B92" w14:textId="1AD3319B" w:rsidR="00EA6EFC" w:rsidRPr="009716CD" w:rsidRDefault="00EA6EFC" w:rsidP="008A082A">
            <w:pPr>
              <w:jc w:val="both"/>
              <w:rPr>
                <w:color w:val="000000" w:themeColor="text1"/>
                <w:sz w:val="20"/>
                <w:szCs w:val="20"/>
              </w:rPr>
            </w:pPr>
            <w:bookmarkStart w:id="24" w:name="_Hlk134550996"/>
            <w:r w:rsidRPr="009716CD">
              <w:rPr>
                <w:color w:val="000000" w:themeColor="text1"/>
                <w:sz w:val="20"/>
                <w:szCs w:val="20"/>
              </w:rPr>
              <w:t xml:space="preserve">Näitaja mõõdab </w:t>
            </w:r>
            <w:proofErr w:type="spellStart"/>
            <w:r w:rsidRPr="009716CD">
              <w:rPr>
                <w:color w:val="000000" w:themeColor="text1"/>
                <w:sz w:val="20"/>
                <w:szCs w:val="20"/>
              </w:rPr>
              <w:t>KOV-ide</w:t>
            </w:r>
            <w:proofErr w:type="spellEnd"/>
            <w:r w:rsidRPr="009716CD">
              <w:rPr>
                <w:color w:val="000000" w:themeColor="text1"/>
                <w:sz w:val="20"/>
                <w:szCs w:val="20"/>
              </w:rPr>
              <w:t xml:space="preserve"> arvu, kus on kasutusele võetud välja töötatud kohanemis- ja/või lõimumistee</w:t>
            </w:r>
            <w:r w:rsidR="00794FFB" w:rsidRPr="009716CD">
              <w:rPr>
                <w:color w:val="000000" w:themeColor="text1"/>
                <w:sz w:val="20"/>
                <w:szCs w:val="20"/>
              </w:rPr>
              <w:t>-</w:t>
            </w:r>
            <w:r w:rsidRPr="009716CD">
              <w:rPr>
                <w:color w:val="000000" w:themeColor="text1"/>
                <w:sz w:val="20"/>
                <w:szCs w:val="20"/>
              </w:rPr>
              <w:t>konnad</w:t>
            </w:r>
            <w:r w:rsidR="001023DC" w:rsidRPr="009716CD">
              <w:t xml:space="preserve"> </w:t>
            </w:r>
            <w:r w:rsidR="001023DC" w:rsidRPr="009716CD">
              <w:rPr>
                <w:color w:val="000000" w:themeColor="text1"/>
                <w:sz w:val="20"/>
                <w:szCs w:val="20"/>
              </w:rPr>
              <w:t xml:space="preserve">(punkt  </w:t>
            </w:r>
            <w:r w:rsidR="00CE6960" w:rsidRPr="009716CD">
              <w:rPr>
                <w:color w:val="000000" w:themeColor="text1"/>
                <w:sz w:val="20"/>
                <w:szCs w:val="20"/>
              </w:rPr>
              <w:t>3.5.</w:t>
            </w:r>
            <w:r w:rsidR="00BB3DF3" w:rsidRPr="009716CD">
              <w:rPr>
                <w:color w:val="000000" w:themeColor="text1"/>
                <w:sz w:val="20"/>
                <w:szCs w:val="20"/>
              </w:rPr>
              <w:t>1.2</w:t>
            </w:r>
            <w:r w:rsidR="001023DC" w:rsidRPr="009716CD">
              <w:rPr>
                <w:color w:val="000000" w:themeColor="text1"/>
                <w:sz w:val="20"/>
                <w:szCs w:val="20"/>
              </w:rPr>
              <w:t>).</w:t>
            </w:r>
            <w:bookmarkEnd w:id="24"/>
          </w:p>
        </w:tc>
      </w:tr>
      <w:tr w:rsidR="008A082A" w:rsidRPr="009716CD" w14:paraId="3EB664A8" w14:textId="77777777" w:rsidTr="00985D60">
        <w:trPr>
          <w:trHeight w:val="1049"/>
        </w:trPr>
        <w:tc>
          <w:tcPr>
            <w:tcW w:w="1262" w:type="dxa"/>
          </w:tcPr>
          <w:p w14:paraId="729854B2" w14:textId="615FBF68" w:rsidR="008A082A" w:rsidRPr="009716CD" w:rsidRDefault="008A082A" w:rsidP="00100471">
            <w:pPr>
              <w:rPr>
                <w:color w:val="000000" w:themeColor="text1"/>
                <w:sz w:val="20"/>
                <w:szCs w:val="20"/>
              </w:rPr>
            </w:pPr>
            <w:r w:rsidRPr="009716CD">
              <w:rPr>
                <w:color w:val="000000" w:themeColor="text1"/>
                <w:sz w:val="20"/>
                <w:szCs w:val="20"/>
              </w:rPr>
              <w:t>TAT spetsiifilised näitajad</w:t>
            </w:r>
          </w:p>
        </w:tc>
        <w:tc>
          <w:tcPr>
            <w:tcW w:w="624" w:type="dxa"/>
          </w:tcPr>
          <w:p w14:paraId="58F63416" w14:textId="79CCBA58" w:rsidR="008A082A" w:rsidRPr="009716CD" w:rsidRDefault="008A082A" w:rsidP="008A082A">
            <w:pPr>
              <w:jc w:val="both"/>
              <w:rPr>
                <w:color w:val="000000" w:themeColor="text1"/>
                <w:sz w:val="20"/>
                <w:szCs w:val="20"/>
              </w:rPr>
            </w:pPr>
            <w:r w:rsidRPr="009716CD">
              <w:rPr>
                <w:color w:val="000000" w:themeColor="text1"/>
                <w:sz w:val="20"/>
                <w:szCs w:val="20"/>
              </w:rPr>
              <w:t>Väljund</w:t>
            </w:r>
            <w:r w:rsidR="001630C3" w:rsidRPr="009716CD">
              <w:rPr>
                <w:color w:val="000000" w:themeColor="text1"/>
                <w:sz w:val="20"/>
                <w:szCs w:val="20"/>
              </w:rPr>
              <w:t>-</w:t>
            </w:r>
            <w:r w:rsidRPr="009716CD">
              <w:rPr>
                <w:color w:val="000000" w:themeColor="text1"/>
                <w:sz w:val="20"/>
                <w:szCs w:val="20"/>
              </w:rPr>
              <w:t>näitaja</w:t>
            </w:r>
          </w:p>
        </w:tc>
        <w:tc>
          <w:tcPr>
            <w:tcW w:w="1511" w:type="dxa"/>
          </w:tcPr>
          <w:p w14:paraId="334B6EC8" w14:textId="62E5D71C" w:rsidR="008A082A" w:rsidRPr="009716CD" w:rsidRDefault="00853639" w:rsidP="008A082A">
            <w:pPr>
              <w:jc w:val="both"/>
              <w:rPr>
                <w:color w:val="000000" w:themeColor="text1"/>
                <w:sz w:val="20"/>
                <w:szCs w:val="20"/>
              </w:rPr>
            </w:pPr>
            <w:bookmarkStart w:id="25" w:name="_Hlk133921804"/>
            <w:r w:rsidRPr="009716CD">
              <w:rPr>
                <w:color w:val="000000" w:themeColor="text1"/>
                <w:sz w:val="20"/>
                <w:szCs w:val="20"/>
              </w:rPr>
              <w:t>Koolitustel</w:t>
            </w:r>
            <w:r w:rsidR="000F1E85" w:rsidRPr="009716CD">
              <w:rPr>
                <w:color w:val="000000" w:themeColor="text1"/>
                <w:sz w:val="20"/>
                <w:szCs w:val="20"/>
              </w:rPr>
              <w:t>, kogemuskohtu</w:t>
            </w:r>
            <w:r w:rsidR="00134F4D" w:rsidRPr="009716CD">
              <w:rPr>
                <w:color w:val="000000" w:themeColor="text1"/>
                <w:sz w:val="20"/>
                <w:szCs w:val="20"/>
              </w:rPr>
              <w:t>-</w:t>
            </w:r>
            <w:proofErr w:type="spellStart"/>
            <w:r w:rsidR="000F1E85" w:rsidRPr="009716CD">
              <w:rPr>
                <w:color w:val="000000" w:themeColor="text1"/>
                <w:sz w:val="20"/>
                <w:szCs w:val="20"/>
              </w:rPr>
              <w:t>mistel</w:t>
            </w:r>
            <w:proofErr w:type="spellEnd"/>
            <w:r w:rsidR="000F1E85" w:rsidRPr="009716CD">
              <w:rPr>
                <w:color w:val="000000" w:themeColor="text1"/>
                <w:sz w:val="20"/>
                <w:szCs w:val="20"/>
              </w:rPr>
              <w:t>, õppevisiitidel</w:t>
            </w:r>
            <w:r w:rsidRPr="009716CD">
              <w:rPr>
                <w:color w:val="000000" w:themeColor="text1"/>
                <w:sz w:val="20"/>
                <w:szCs w:val="20"/>
              </w:rPr>
              <w:t xml:space="preserve"> osalenud </w:t>
            </w:r>
            <w:proofErr w:type="spellStart"/>
            <w:r w:rsidRPr="009716CD">
              <w:rPr>
                <w:color w:val="000000" w:themeColor="text1"/>
                <w:sz w:val="20"/>
                <w:szCs w:val="20"/>
              </w:rPr>
              <w:t>KOV</w:t>
            </w:r>
            <w:r w:rsidR="006E6A32" w:rsidRPr="009716CD">
              <w:rPr>
                <w:color w:val="000000" w:themeColor="text1"/>
                <w:sz w:val="20"/>
                <w:szCs w:val="20"/>
              </w:rPr>
              <w:noBreakHyphen/>
            </w:r>
            <w:r w:rsidR="000F1E85" w:rsidRPr="009716CD">
              <w:rPr>
                <w:color w:val="000000" w:themeColor="text1"/>
                <w:sz w:val="20"/>
                <w:szCs w:val="20"/>
              </w:rPr>
              <w:t>ide</w:t>
            </w:r>
            <w:proofErr w:type="spellEnd"/>
            <w:r w:rsidR="000F1E85" w:rsidRPr="009716CD">
              <w:rPr>
                <w:color w:val="000000" w:themeColor="text1"/>
                <w:sz w:val="20"/>
                <w:szCs w:val="20"/>
              </w:rPr>
              <w:t xml:space="preserve"> </w:t>
            </w:r>
            <w:r w:rsidR="00EA6EFC" w:rsidRPr="009716CD">
              <w:rPr>
                <w:color w:val="000000" w:themeColor="text1"/>
                <w:sz w:val="20"/>
                <w:szCs w:val="20"/>
              </w:rPr>
              <w:t xml:space="preserve">arv </w:t>
            </w:r>
          </w:p>
          <w:bookmarkEnd w:id="25"/>
          <w:p w14:paraId="783920E8" w14:textId="6B37E8F9" w:rsidR="00EC21D7" w:rsidRPr="009716CD" w:rsidRDefault="00EC21D7" w:rsidP="008A082A">
            <w:pPr>
              <w:jc w:val="both"/>
              <w:rPr>
                <w:color w:val="000000" w:themeColor="text1"/>
                <w:sz w:val="20"/>
                <w:szCs w:val="20"/>
              </w:rPr>
            </w:pPr>
            <w:r w:rsidRPr="009716CD">
              <w:rPr>
                <w:color w:val="000000" w:themeColor="text1"/>
                <w:sz w:val="20"/>
                <w:szCs w:val="20"/>
              </w:rPr>
              <w:t>Mõõtühik: osaluskord</w:t>
            </w:r>
          </w:p>
        </w:tc>
        <w:tc>
          <w:tcPr>
            <w:tcW w:w="670" w:type="dxa"/>
          </w:tcPr>
          <w:p w14:paraId="42B05A38" w14:textId="53D825E4" w:rsidR="008A082A" w:rsidRPr="009716CD" w:rsidRDefault="00853639" w:rsidP="008A082A">
            <w:pPr>
              <w:jc w:val="both"/>
              <w:rPr>
                <w:color w:val="000000" w:themeColor="text1"/>
                <w:sz w:val="20"/>
                <w:szCs w:val="20"/>
              </w:rPr>
            </w:pPr>
            <w:r w:rsidRPr="009716CD">
              <w:rPr>
                <w:color w:val="000000" w:themeColor="text1"/>
                <w:sz w:val="20"/>
                <w:szCs w:val="20"/>
              </w:rPr>
              <w:t>0</w:t>
            </w:r>
          </w:p>
        </w:tc>
        <w:tc>
          <w:tcPr>
            <w:tcW w:w="1019" w:type="dxa"/>
          </w:tcPr>
          <w:p w14:paraId="0281EC97" w14:textId="08487CA9" w:rsidR="008A082A" w:rsidRPr="009716CD" w:rsidRDefault="00EA6EFC" w:rsidP="008A082A">
            <w:pPr>
              <w:jc w:val="both"/>
              <w:rPr>
                <w:color w:val="000000" w:themeColor="text1"/>
                <w:sz w:val="20"/>
                <w:szCs w:val="20"/>
              </w:rPr>
            </w:pPr>
            <w:r w:rsidRPr="009716CD">
              <w:rPr>
                <w:color w:val="000000" w:themeColor="text1"/>
                <w:sz w:val="20"/>
                <w:szCs w:val="20"/>
              </w:rPr>
              <w:t>Ei kohaldu</w:t>
            </w:r>
          </w:p>
        </w:tc>
        <w:tc>
          <w:tcPr>
            <w:tcW w:w="1333" w:type="dxa"/>
          </w:tcPr>
          <w:p w14:paraId="4D5E12F4" w14:textId="077B5B86" w:rsidR="008A082A" w:rsidRPr="009716CD" w:rsidRDefault="000F1E85" w:rsidP="008A082A">
            <w:pPr>
              <w:jc w:val="both"/>
              <w:rPr>
                <w:color w:val="000000" w:themeColor="text1"/>
                <w:sz w:val="20"/>
                <w:szCs w:val="20"/>
              </w:rPr>
            </w:pPr>
            <w:r w:rsidRPr="009716CD">
              <w:rPr>
                <w:color w:val="000000" w:themeColor="text1"/>
                <w:sz w:val="20"/>
                <w:szCs w:val="20"/>
              </w:rPr>
              <w:t>20</w:t>
            </w:r>
          </w:p>
        </w:tc>
        <w:tc>
          <w:tcPr>
            <w:tcW w:w="1399" w:type="dxa"/>
          </w:tcPr>
          <w:p w14:paraId="2D09FA07" w14:textId="68A1B397" w:rsidR="008A082A" w:rsidRPr="009716CD" w:rsidRDefault="000C0882" w:rsidP="008A082A">
            <w:pPr>
              <w:jc w:val="both"/>
              <w:rPr>
                <w:color w:val="000000" w:themeColor="text1"/>
                <w:sz w:val="20"/>
                <w:szCs w:val="20"/>
              </w:rPr>
            </w:pPr>
            <w:r w:rsidRPr="009716CD">
              <w:rPr>
                <w:color w:val="000000" w:themeColor="text1"/>
                <w:sz w:val="20"/>
                <w:szCs w:val="20"/>
              </w:rPr>
              <w:t>45</w:t>
            </w:r>
          </w:p>
        </w:tc>
        <w:tc>
          <w:tcPr>
            <w:tcW w:w="1484" w:type="dxa"/>
          </w:tcPr>
          <w:p w14:paraId="72C9B1C9" w14:textId="72D919FF" w:rsidR="008A082A" w:rsidRPr="009716CD" w:rsidRDefault="000F1E85" w:rsidP="008A082A">
            <w:pPr>
              <w:jc w:val="both"/>
              <w:rPr>
                <w:color w:val="000000" w:themeColor="text1"/>
                <w:sz w:val="20"/>
                <w:szCs w:val="20"/>
              </w:rPr>
            </w:pPr>
            <w:bookmarkStart w:id="26" w:name="_Hlk134551086"/>
            <w:r w:rsidRPr="009716CD">
              <w:rPr>
                <w:color w:val="000000" w:themeColor="text1"/>
                <w:sz w:val="20"/>
                <w:szCs w:val="20"/>
              </w:rPr>
              <w:t xml:space="preserve">Eestis on 2022. aasta oktoobri seisuga 79 </w:t>
            </w:r>
            <w:proofErr w:type="spellStart"/>
            <w:r w:rsidRPr="009716CD">
              <w:rPr>
                <w:color w:val="000000" w:themeColor="text1"/>
                <w:sz w:val="20"/>
                <w:szCs w:val="20"/>
              </w:rPr>
              <w:t>KOV-i</w:t>
            </w:r>
            <w:proofErr w:type="spellEnd"/>
            <w:r w:rsidRPr="009716CD">
              <w:rPr>
                <w:color w:val="000000" w:themeColor="text1"/>
                <w:sz w:val="20"/>
                <w:szCs w:val="20"/>
              </w:rPr>
              <w:t xml:space="preserve">. </w:t>
            </w:r>
            <w:bookmarkStart w:id="27" w:name="_Hlk133921846"/>
            <w:r w:rsidRPr="009716CD">
              <w:rPr>
                <w:color w:val="000000" w:themeColor="text1"/>
                <w:sz w:val="20"/>
                <w:szCs w:val="20"/>
              </w:rPr>
              <w:t xml:space="preserve">Näitaja mõõdab, mitme </w:t>
            </w:r>
            <w:proofErr w:type="spellStart"/>
            <w:r w:rsidRPr="009716CD">
              <w:rPr>
                <w:color w:val="000000" w:themeColor="text1"/>
                <w:sz w:val="20"/>
                <w:szCs w:val="20"/>
              </w:rPr>
              <w:t>KOV-i</w:t>
            </w:r>
            <w:proofErr w:type="spellEnd"/>
            <w:r w:rsidRPr="009716CD">
              <w:rPr>
                <w:color w:val="000000" w:themeColor="text1"/>
                <w:sz w:val="20"/>
                <w:szCs w:val="20"/>
              </w:rPr>
              <w:t xml:space="preserve"> esindajad on osalenud punktis </w:t>
            </w:r>
            <w:r w:rsidR="004776A3" w:rsidRPr="009716CD">
              <w:rPr>
                <w:color w:val="000000" w:themeColor="text1"/>
                <w:sz w:val="20"/>
                <w:szCs w:val="20"/>
              </w:rPr>
              <w:t>3.5.1.4</w:t>
            </w:r>
            <w:r w:rsidRPr="009716CD">
              <w:rPr>
                <w:color w:val="000000" w:themeColor="text1"/>
                <w:sz w:val="20"/>
                <w:szCs w:val="20"/>
              </w:rPr>
              <w:t xml:space="preserve"> toodud tegevustes. </w:t>
            </w:r>
            <w:bookmarkEnd w:id="26"/>
            <w:bookmarkEnd w:id="27"/>
          </w:p>
        </w:tc>
      </w:tr>
      <w:tr w:rsidR="004776A3" w:rsidRPr="009716CD" w14:paraId="2A7D9D02" w14:textId="77777777" w:rsidTr="00985D60">
        <w:trPr>
          <w:trHeight w:val="1049"/>
        </w:trPr>
        <w:tc>
          <w:tcPr>
            <w:tcW w:w="1262" w:type="dxa"/>
          </w:tcPr>
          <w:p w14:paraId="6E81B6C9" w14:textId="5242949F" w:rsidR="004776A3" w:rsidRPr="009716CD" w:rsidRDefault="004776A3" w:rsidP="004776A3">
            <w:pPr>
              <w:rPr>
                <w:color w:val="000000" w:themeColor="text1"/>
                <w:sz w:val="20"/>
                <w:szCs w:val="20"/>
              </w:rPr>
            </w:pPr>
            <w:r w:rsidRPr="009716CD">
              <w:rPr>
                <w:color w:val="000000" w:themeColor="text1"/>
                <w:sz w:val="20"/>
                <w:szCs w:val="20"/>
              </w:rPr>
              <w:t>TAT spetsiifilised näitajad</w:t>
            </w:r>
          </w:p>
        </w:tc>
        <w:tc>
          <w:tcPr>
            <w:tcW w:w="624" w:type="dxa"/>
          </w:tcPr>
          <w:p w14:paraId="014E2A58" w14:textId="13765568" w:rsidR="004776A3" w:rsidRPr="009716CD" w:rsidRDefault="004776A3" w:rsidP="004776A3">
            <w:pPr>
              <w:jc w:val="both"/>
              <w:rPr>
                <w:color w:val="000000" w:themeColor="text1"/>
                <w:sz w:val="20"/>
                <w:szCs w:val="20"/>
              </w:rPr>
            </w:pPr>
            <w:r w:rsidRPr="009716CD">
              <w:rPr>
                <w:color w:val="000000" w:themeColor="text1"/>
                <w:sz w:val="20"/>
                <w:szCs w:val="20"/>
              </w:rPr>
              <w:t>Väljund-näitaja</w:t>
            </w:r>
          </w:p>
        </w:tc>
        <w:tc>
          <w:tcPr>
            <w:tcW w:w="1511" w:type="dxa"/>
          </w:tcPr>
          <w:p w14:paraId="2EBB260C" w14:textId="52DF2F3D" w:rsidR="004776A3" w:rsidRPr="009716CD" w:rsidRDefault="004776A3" w:rsidP="004776A3">
            <w:pPr>
              <w:jc w:val="both"/>
              <w:rPr>
                <w:color w:val="000000" w:themeColor="text1"/>
                <w:sz w:val="20"/>
                <w:szCs w:val="20"/>
              </w:rPr>
            </w:pPr>
            <w:bookmarkStart w:id="28" w:name="_Hlk133921916"/>
            <w:r w:rsidRPr="009716CD">
              <w:rPr>
                <w:color w:val="000000" w:themeColor="text1"/>
                <w:sz w:val="20"/>
                <w:szCs w:val="20"/>
              </w:rPr>
              <w:t>Korraldatud infopäevade arv</w:t>
            </w:r>
            <w:bookmarkEnd w:id="28"/>
          </w:p>
        </w:tc>
        <w:tc>
          <w:tcPr>
            <w:tcW w:w="670" w:type="dxa"/>
          </w:tcPr>
          <w:p w14:paraId="5CAF570D" w14:textId="46B22DA0" w:rsidR="004776A3" w:rsidRPr="009716CD" w:rsidRDefault="004776A3" w:rsidP="004776A3">
            <w:pPr>
              <w:jc w:val="both"/>
              <w:rPr>
                <w:color w:val="000000" w:themeColor="text1"/>
                <w:sz w:val="20"/>
                <w:szCs w:val="20"/>
              </w:rPr>
            </w:pPr>
            <w:r w:rsidRPr="009716CD">
              <w:rPr>
                <w:color w:val="000000" w:themeColor="text1"/>
                <w:sz w:val="20"/>
                <w:szCs w:val="20"/>
              </w:rPr>
              <w:t>0</w:t>
            </w:r>
          </w:p>
        </w:tc>
        <w:tc>
          <w:tcPr>
            <w:tcW w:w="1019" w:type="dxa"/>
          </w:tcPr>
          <w:p w14:paraId="4DAB7802" w14:textId="66E42D30" w:rsidR="004776A3" w:rsidRPr="009716CD" w:rsidRDefault="004776A3" w:rsidP="004776A3">
            <w:pPr>
              <w:jc w:val="both"/>
              <w:rPr>
                <w:color w:val="000000" w:themeColor="text1"/>
                <w:sz w:val="20"/>
                <w:szCs w:val="20"/>
              </w:rPr>
            </w:pPr>
            <w:r w:rsidRPr="009716CD">
              <w:rPr>
                <w:color w:val="000000" w:themeColor="text1"/>
                <w:sz w:val="20"/>
                <w:szCs w:val="20"/>
              </w:rPr>
              <w:t>Ei kohaldu</w:t>
            </w:r>
          </w:p>
        </w:tc>
        <w:tc>
          <w:tcPr>
            <w:tcW w:w="1333" w:type="dxa"/>
          </w:tcPr>
          <w:p w14:paraId="4627C4A2" w14:textId="2DD8BFCC" w:rsidR="004776A3" w:rsidRPr="009716CD" w:rsidRDefault="004776A3" w:rsidP="004776A3">
            <w:pPr>
              <w:jc w:val="both"/>
              <w:rPr>
                <w:color w:val="000000" w:themeColor="text1"/>
                <w:sz w:val="20"/>
                <w:szCs w:val="20"/>
              </w:rPr>
            </w:pPr>
            <w:r w:rsidRPr="009716CD">
              <w:rPr>
                <w:color w:val="000000" w:themeColor="text1"/>
                <w:sz w:val="20"/>
                <w:szCs w:val="20"/>
              </w:rPr>
              <w:t>3</w:t>
            </w:r>
          </w:p>
        </w:tc>
        <w:tc>
          <w:tcPr>
            <w:tcW w:w="1399" w:type="dxa"/>
          </w:tcPr>
          <w:p w14:paraId="7EAF67DE" w14:textId="0950F043" w:rsidR="004776A3" w:rsidRPr="009716CD" w:rsidRDefault="004776A3" w:rsidP="004776A3">
            <w:pPr>
              <w:jc w:val="both"/>
              <w:rPr>
                <w:color w:val="000000" w:themeColor="text1"/>
                <w:sz w:val="20"/>
                <w:szCs w:val="20"/>
              </w:rPr>
            </w:pPr>
            <w:r w:rsidRPr="009716CD">
              <w:rPr>
                <w:color w:val="000000" w:themeColor="text1"/>
                <w:sz w:val="20"/>
                <w:szCs w:val="20"/>
              </w:rPr>
              <w:t>12</w:t>
            </w:r>
          </w:p>
        </w:tc>
        <w:tc>
          <w:tcPr>
            <w:tcW w:w="1484" w:type="dxa"/>
          </w:tcPr>
          <w:p w14:paraId="2A30BADE" w14:textId="66B1EE84" w:rsidR="004776A3" w:rsidRPr="009716CD" w:rsidRDefault="004776A3" w:rsidP="004776A3">
            <w:pPr>
              <w:jc w:val="both"/>
              <w:rPr>
                <w:color w:val="000000" w:themeColor="text1"/>
                <w:sz w:val="20"/>
                <w:szCs w:val="20"/>
              </w:rPr>
            </w:pPr>
            <w:bookmarkStart w:id="29" w:name="_Hlk133922002"/>
            <w:r w:rsidRPr="009716CD">
              <w:rPr>
                <w:color w:val="000000" w:themeColor="text1"/>
                <w:sz w:val="20"/>
                <w:szCs w:val="20"/>
              </w:rPr>
              <w:t xml:space="preserve">Näitaja mõõdab </w:t>
            </w:r>
            <w:proofErr w:type="spellStart"/>
            <w:r w:rsidRPr="009716CD">
              <w:rPr>
                <w:color w:val="000000" w:themeColor="text1"/>
                <w:sz w:val="20"/>
                <w:szCs w:val="20"/>
              </w:rPr>
              <w:t>KOV-ide</w:t>
            </w:r>
            <w:proofErr w:type="spellEnd"/>
            <w:r w:rsidRPr="009716CD">
              <w:rPr>
                <w:color w:val="000000" w:themeColor="text1"/>
                <w:sz w:val="20"/>
                <w:szCs w:val="20"/>
              </w:rPr>
              <w:t xml:space="preserve"> töötajatele korraldatud temaatiliste infopäevade arvu</w:t>
            </w:r>
            <w:bookmarkEnd w:id="29"/>
            <w:r w:rsidR="0055215F" w:rsidRPr="009716CD">
              <w:t xml:space="preserve"> </w:t>
            </w:r>
            <w:r w:rsidR="0055215F" w:rsidRPr="009716CD">
              <w:rPr>
                <w:color w:val="000000" w:themeColor="text1"/>
                <w:sz w:val="20"/>
                <w:szCs w:val="20"/>
              </w:rPr>
              <w:t>(punkt 3. 5.1.3).</w:t>
            </w:r>
          </w:p>
        </w:tc>
      </w:tr>
      <w:tr w:rsidR="004776A3" w:rsidRPr="009716CD" w14:paraId="5B76E0CB" w14:textId="77777777" w:rsidTr="00985D60">
        <w:trPr>
          <w:trHeight w:val="837"/>
        </w:trPr>
        <w:tc>
          <w:tcPr>
            <w:tcW w:w="1262" w:type="dxa"/>
          </w:tcPr>
          <w:p w14:paraId="3B39D1F9" w14:textId="18429649" w:rsidR="004776A3" w:rsidRPr="009716CD" w:rsidRDefault="004776A3" w:rsidP="004776A3">
            <w:pPr>
              <w:rPr>
                <w:color w:val="000000" w:themeColor="text1"/>
                <w:sz w:val="20"/>
                <w:szCs w:val="20"/>
              </w:rPr>
            </w:pPr>
            <w:r w:rsidRPr="009716CD">
              <w:rPr>
                <w:color w:val="000000" w:themeColor="text1"/>
                <w:sz w:val="20"/>
                <w:szCs w:val="20"/>
              </w:rPr>
              <w:t>TAT spetsiifilised näitajad</w:t>
            </w:r>
          </w:p>
        </w:tc>
        <w:tc>
          <w:tcPr>
            <w:tcW w:w="624" w:type="dxa"/>
          </w:tcPr>
          <w:p w14:paraId="34391CFE" w14:textId="3E15B223" w:rsidR="004776A3" w:rsidRPr="009716CD" w:rsidRDefault="004776A3" w:rsidP="004776A3">
            <w:pPr>
              <w:jc w:val="both"/>
              <w:rPr>
                <w:color w:val="000000" w:themeColor="text1"/>
                <w:sz w:val="20"/>
                <w:szCs w:val="20"/>
              </w:rPr>
            </w:pPr>
            <w:r w:rsidRPr="009716CD">
              <w:rPr>
                <w:color w:val="000000" w:themeColor="text1"/>
                <w:sz w:val="20"/>
                <w:szCs w:val="20"/>
              </w:rPr>
              <w:t>Väljund-näitaja</w:t>
            </w:r>
          </w:p>
        </w:tc>
        <w:tc>
          <w:tcPr>
            <w:tcW w:w="1511" w:type="dxa"/>
          </w:tcPr>
          <w:p w14:paraId="29894C43" w14:textId="7ADEF6F2" w:rsidR="004776A3" w:rsidRPr="009716CD" w:rsidRDefault="004776A3" w:rsidP="004776A3">
            <w:pPr>
              <w:jc w:val="both"/>
              <w:rPr>
                <w:color w:val="000000" w:themeColor="text1"/>
                <w:sz w:val="20"/>
                <w:szCs w:val="20"/>
              </w:rPr>
            </w:pPr>
            <w:bookmarkStart w:id="30" w:name="_Hlk134551167"/>
            <w:r w:rsidRPr="009716CD">
              <w:rPr>
                <w:color w:val="000000" w:themeColor="text1"/>
                <w:sz w:val="20"/>
                <w:szCs w:val="20"/>
              </w:rPr>
              <w:t>Korraldatud üle-eestiliste koolituste arv</w:t>
            </w:r>
          </w:p>
          <w:bookmarkEnd w:id="30"/>
          <w:p w14:paraId="0E1A0675" w14:textId="22FBCF1E" w:rsidR="004776A3" w:rsidRPr="009716CD" w:rsidRDefault="004776A3" w:rsidP="004776A3">
            <w:pPr>
              <w:jc w:val="both"/>
              <w:rPr>
                <w:color w:val="000000" w:themeColor="text1"/>
                <w:sz w:val="20"/>
                <w:szCs w:val="20"/>
              </w:rPr>
            </w:pPr>
            <w:r w:rsidRPr="009716CD">
              <w:rPr>
                <w:color w:val="000000" w:themeColor="text1"/>
                <w:sz w:val="20"/>
                <w:szCs w:val="20"/>
              </w:rPr>
              <w:t>Mõõtühik: arv</w:t>
            </w:r>
          </w:p>
        </w:tc>
        <w:tc>
          <w:tcPr>
            <w:tcW w:w="670" w:type="dxa"/>
          </w:tcPr>
          <w:p w14:paraId="1776633D" w14:textId="229ED626" w:rsidR="004776A3" w:rsidRPr="009716CD" w:rsidRDefault="004776A3" w:rsidP="004776A3">
            <w:pPr>
              <w:jc w:val="both"/>
              <w:rPr>
                <w:color w:val="000000" w:themeColor="text1"/>
                <w:sz w:val="20"/>
                <w:szCs w:val="20"/>
              </w:rPr>
            </w:pPr>
            <w:r w:rsidRPr="009716CD">
              <w:rPr>
                <w:color w:val="000000" w:themeColor="text1"/>
                <w:sz w:val="20"/>
                <w:szCs w:val="20"/>
              </w:rPr>
              <w:t>0</w:t>
            </w:r>
          </w:p>
        </w:tc>
        <w:tc>
          <w:tcPr>
            <w:tcW w:w="1019" w:type="dxa"/>
          </w:tcPr>
          <w:p w14:paraId="33C9DF7F" w14:textId="0ED376F9" w:rsidR="004776A3" w:rsidRPr="009716CD" w:rsidRDefault="004776A3" w:rsidP="004776A3">
            <w:pPr>
              <w:jc w:val="both"/>
              <w:rPr>
                <w:color w:val="000000" w:themeColor="text1"/>
                <w:sz w:val="20"/>
                <w:szCs w:val="20"/>
              </w:rPr>
            </w:pPr>
            <w:r w:rsidRPr="009716CD">
              <w:rPr>
                <w:color w:val="000000" w:themeColor="text1"/>
                <w:sz w:val="20"/>
                <w:szCs w:val="20"/>
              </w:rPr>
              <w:t>Ei kohaldu</w:t>
            </w:r>
          </w:p>
        </w:tc>
        <w:tc>
          <w:tcPr>
            <w:tcW w:w="1333" w:type="dxa"/>
          </w:tcPr>
          <w:p w14:paraId="628FD7C9" w14:textId="26AB571F" w:rsidR="004776A3" w:rsidRPr="009716CD" w:rsidRDefault="004776A3" w:rsidP="004776A3">
            <w:pPr>
              <w:jc w:val="both"/>
              <w:rPr>
                <w:color w:val="000000" w:themeColor="text1"/>
                <w:sz w:val="20"/>
                <w:szCs w:val="20"/>
              </w:rPr>
            </w:pPr>
            <w:r w:rsidRPr="009716CD">
              <w:rPr>
                <w:color w:val="000000" w:themeColor="text1"/>
                <w:sz w:val="20"/>
                <w:szCs w:val="20"/>
              </w:rPr>
              <w:t>3</w:t>
            </w:r>
          </w:p>
        </w:tc>
        <w:tc>
          <w:tcPr>
            <w:tcW w:w="1399" w:type="dxa"/>
          </w:tcPr>
          <w:p w14:paraId="43563341" w14:textId="407A7E0F" w:rsidR="004776A3" w:rsidRPr="009716CD" w:rsidRDefault="004776A3" w:rsidP="004776A3">
            <w:pPr>
              <w:jc w:val="both"/>
              <w:rPr>
                <w:color w:val="000000" w:themeColor="text1"/>
                <w:sz w:val="20"/>
                <w:szCs w:val="20"/>
              </w:rPr>
            </w:pPr>
            <w:r w:rsidRPr="009716CD">
              <w:rPr>
                <w:color w:val="000000" w:themeColor="text1"/>
                <w:sz w:val="20"/>
                <w:szCs w:val="20"/>
              </w:rPr>
              <w:t>12</w:t>
            </w:r>
          </w:p>
        </w:tc>
        <w:tc>
          <w:tcPr>
            <w:tcW w:w="1484" w:type="dxa"/>
          </w:tcPr>
          <w:p w14:paraId="5CF91A68" w14:textId="740A85E0" w:rsidR="004776A3" w:rsidRPr="009716CD" w:rsidRDefault="004776A3" w:rsidP="004776A3">
            <w:pPr>
              <w:jc w:val="both"/>
              <w:rPr>
                <w:color w:val="000000" w:themeColor="text1"/>
                <w:sz w:val="20"/>
                <w:szCs w:val="20"/>
              </w:rPr>
            </w:pPr>
            <w:bookmarkStart w:id="31" w:name="_Hlk134551182"/>
            <w:r w:rsidRPr="009716CD">
              <w:rPr>
                <w:color w:val="000000" w:themeColor="text1"/>
                <w:sz w:val="20"/>
                <w:szCs w:val="20"/>
              </w:rPr>
              <w:t>Näitaja mõõdab töötajatele ja ametnikele korraldatud koolituste arvu</w:t>
            </w:r>
            <w:r w:rsidR="001035B1" w:rsidRPr="009716CD">
              <w:rPr>
                <w:color w:val="000000" w:themeColor="text1"/>
                <w:sz w:val="20"/>
                <w:szCs w:val="20"/>
              </w:rPr>
              <w:t xml:space="preserve"> (punkt  3.5.1.4).</w:t>
            </w:r>
            <w:r w:rsidRPr="009716CD">
              <w:rPr>
                <w:color w:val="000000" w:themeColor="text1"/>
                <w:sz w:val="20"/>
                <w:szCs w:val="20"/>
              </w:rPr>
              <w:t xml:space="preserve"> </w:t>
            </w:r>
            <w:bookmarkEnd w:id="31"/>
          </w:p>
        </w:tc>
      </w:tr>
    </w:tbl>
    <w:p w14:paraId="71A836A1" w14:textId="572AD733" w:rsidR="00CC1DB6" w:rsidRPr="009716CD" w:rsidRDefault="00CC1DB6" w:rsidP="00B52F78">
      <w:pPr>
        <w:pStyle w:val="Pealkiri1"/>
      </w:pPr>
      <w:r w:rsidRPr="009716CD">
        <w:t>T</w:t>
      </w:r>
      <w:r w:rsidR="003E17FC" w:rsidRPr="009716CD">
        <w:t>oetatava t</w:t>
      </w:r>
      <w:r w:rsidRPr="009716CD">
        <w:t xml:space="preserve">egevuse abikõlblikkuse periood </w:t>
      </w:r>
    </w:p>
    <w:p w14:paraId="5F946B03" w14:textId="3B6260A8" w:rsidR="00CC1DB6" w:rsidRPr="009716CD" w:rsidRDefault="00CC1DB6" w:rsidP="00173DCD">
      <w:pPr>
        <w:pStyle w:val="Pealkiri2"/>
      </w:pPr>
      <w:r w:rsidRPr="009716CD">
        <w:t>T</w:t>
      </w:r>
      <w:r w:rsidR="003E17FC" w:rsidRPr="009716CD">
        <w:t>oetatava t</w:t>
      </w:r>
      <w:r w:rsidRPr="009716CD">
        <w:t>egevu</w:t>
      </w:r>
      <w:r w:rsidR="0023582A" w:rsidRPr="009716CD">
        <w:t>s</w:t>
      </w:r>
      <w:r w:rsidRPr="009716CD">
        <w:t xml:space="preserve">e abikõlblikkuse periood on </w:t>
      </w:r>
      <w:r w:rsidR="00585D69" w:rsidRPr="009716CD">
        <w:t>01.01.2023–31.10.2029</w:t>
      </w:r>
      <w:r w:rsidR="00A751C1" w:rsidRPr="009716CD">
        <w:t>.</w:t>
      </w:r>
    </w:p>
    <w:p w14:paraId="2DEA855D" w14:textId="61FF84A1" w:rsidR="00CC1DB6" w:rsidRPr="009716CD" w:rsidRDefault="00002F6B" w:rsidP="00B52F78">
      <w:pPr>
        <w:pStyle w:val="Pealkiri1"/>
      </w:pPr>
      <w:bookmarkStart w:id="32" w:name="_Hlk93500087"/>
      <w:r w:rsidRPr="009716CD">
        <w:t>Toetatava tegevuse</w:t>
      </w:r>
      <w:r w:rsidR="00CC1DB6" w:rsidRPr="009716CD">
        <w:t xml:space="preserve"> eelarve </w:t>
      </w:r>
    </w:p>
    <w:tbl>
      <w:tblPr>
        <w:tblW w:w="922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999"/>
        <w:gridCol w:w="2410"/>
        <w:gridCol w:w="1289"/>
      </w:tblGrid>
      <w:tr w:rsidR="00140246" w:rsidRPr="009716CD" w14:paraId="1EB9F50E" w14:textId="77777777" w:rsidTr="00C507E9">
        <w:tc>
          <w:tcPr>
            <w:tcW w:w="529" w:type="dxa"/>
            <w:shd w:val="clear" w:color="auto" w:fill="auto"/>
          </w:tcPr>
          <w:p w14:paraId="6F3905E0" w14:textId="77777777" w:rsidR="00140246" w:rsidRPr="009716CD" w:rsidRDefault="00140246" w:rsidP="00C507E9">
            <w:pPr>
              <w:keepNext/>
              <w:keepLines/>
              <w:tabs>
                <w:tab w:val="left" w:pos="284"/>
              </w:tabs>
              <w:spacing w:after="0" w:line="240" w:lineRule="auto"/>
              <w:jc w:val="both"/>
              <w:rPr>
                <w:rFonts w:eastAsia="Times New Roman"/>
                <w:lang w:eastAsia="et-EE"/>
              </w:rPr>
            </w:pPr>
            <w:bookmarkStart w:id="33" w:name="_Hlk133922124"/>
            <w:r w:rsidRPr="009716CD">
              <w:rPr>
                <w:rFonts w:eastAsia="Times New Roman"/>
                <w:lang w:eastAsia="et-EE"/>
              </w:rPr>
              <w:t xml:space="preserve">Jrk </w:t>
            </w:r>
          </w:p>
        </w:tc>
        <w:tc>
          <w:tcPr>
            <w:tcW w:w="4999" w:type="dxa"/>
            <w:shd w:val="clear" w:color="auto" w:fill="auto"/>
          </w:tcPr>
          <w:p w14:paraId="79A357C9" w14:textId="77777777" w:rsidR="00140246" w:rsidRPr="009716CD" w:rsidRDefault="00140246" w:rsidP="00C507E9">
            <w:pPr>
              <w:keepNext/>
              <w:keepLines/>
              <w:tabs>
                <w:tab w:val="left" w:pos="284"/>
              </w:tabs>
              <w:spacing w:after="0" w:line="240" w:lineRule="auto"/>
              <w:jc w:val="both"/>
              <w:rPr>
                <w:rFonts w:eastAsia="Times New Roman"/>
                <w:lang w:eastAsia="et-EE"/>
              </w:rPr>
            </w:pPr>
            <w:r w:rsidRPr="009716CD">
              <w:rPr>
                <w:rFonts w:eastAsia="Times New Roman"/>
                <w:lang w:eastAsia="et-EE"/>
              </w:rPr>
              <w:t>Finantsallikas</w:t>
            </w:r>
          </w:p>
        </w:tc>
        <w:tc>
          <w:tcPr>
            <w:tcW w:w="2410" w:type="dxa"/>
            <w:shd w:val="clear" w:color="auto" w:fill="auto"/>
          </w:tcPr>
          <w:p w14:paraId="0A6BAC24" w14:textId="77777777" w:rsidR="00140246" w:rsidRPr="009716CD" w:rsidRDefault="00140246" w:rsidP="00C507E9">
            <w:pPr>
              <w:keepNext/>
              <w:keepLines/>
              <w:tabs>
                <w:tab w:val="left" w:pos="284"/>
              </w:tabs>
              <w:spacing w:after="0" w:line="240" w:lineRule="auto"/>
              <w:jc w:val="both"/>
              <w:rPr>
                <w:rFonts w:eastAsia="Times New Roman"/>
                <w:lang w:eastAsia="et-EE"/>
              </w:rPr>
            </w:pPr>
            <w:r w:rsidRPr="009716CD">
              <w:rPr>
                <w:rFonts w:eastAsia="Times New Roman"/>
                <w:lang w:eastAsia="et-EE"/>
              </w:rPr>
              <w:t xml:space="preserve">Summa </w:t>
            </w:r>
            <w:r w:rsidRPr="009716CD">
              <w:rPr>
                <w:rFonts w:eastAsia="Times New Roman"/>
              </w:rPr>
              <w:t>(eurodes)</w:t>
            </w:r>
          </w:p>
        </w:tc>
        <w:tc>
          <w:tcPr>
            <w:tcW w:w="1289" w:type="dxa"/>
            <w:shd w:val="clear" w:color="auto" w:fill="auto"/>
          </w:tcPr>
          <w:p w14:paraId="5FB786C4" w14:textId="77777777" w:rsidR="00140246" w:rsidRPr="009716CD" w:rsidRDefault="00140246" w:rsidP="00C507E9">
            <w:pPr>
              <w:keepNext/>
              <w:keepLines/>
              <w:tabs>
                <w:tab w:val="left" w:pos="284"/>
              </w:tabs>
              <w:spacing w:after="0" w:line="240" w:lineRule="auto"/>
              <w:jc w:val="both"/>
              <w:rPr>
                <w:rFonts w:eastAsia="Times New Roman"/>
                <w:lang w:eastAsia="et-EE"/>
              </w:rPr>
            </w:pPr>
            <w:r w:rsidRPr="009716CD">
              <w:rPr>
                <w:rFonts w:eastAsia="Times New Roman"/>
                <w:lang w:eastAsia="et-EE"/>
              </w:rPr>
              <w:t>Osakaal</w:t>
            </w:r>
          </w:p>
        </w:tc>
      </w:tr>
      <w:tr w:rsidR="00140246" w:rsidRPr="009716CD" w14:paraId="0C4FCDB2" w14:textId="77777777" w:rsidTr="00C507E9">
        <w:tc>
          <w:tcPr>
            <w:tcW w:w="529" w:type="dxa"/>
            <w:shd w:val="clear" w:color="auto" w:fill="auto"/>
          </w:tcPr>
          <w:p w14:paraId="5EFAEA7C" w14:textId="3CACF231" w:rsidR="00140246" w:rsidRPr="009716CD" w:rsidRDefault="00BB1FD4" w:rsidP="00C507E9">
            <w:pPr>
              <w:keepNext/>
              <w:keepLines/>
              <w:tabs>
                <w:tab w:val="left" w:pos="284"/>
              </w:tabs>
              <w:spacing w:after="0" w:line="240" w:lineRule="auto"/>
              <w:jc w:val="both"/>
              <w:rPr>
                <w:rFonts w:eastAsia="Times New Roman"/>
                <w:lang w:eastAsia="et-EE"/>
              </w:rPr>
            </w:pPr>
            <w:r w:rsidRPr="009716CD">
              <w:rPr>
                <w:rFonts w:eastAsia="Times New Roman"/>
                <w:lang w:eastAsia="et-EE"/>
              </w:rPr>
              <w:t>1</w:t>
            </w:r>
            <w:r w:rsidR="00140246" w:rsidRPr="009716CD">
              <w:rPr>
                <w:rFonts w:eastAsia="Times New Roman"/>
                <w:lang w:eastAsia="et-EE"/>
              </w:rPr>
              <w:t>.1</w:t>
            </w:r>
          </w:p>
        </w:tc>
        <w:tc>
          <w:tcPr>
            <w:tcW w:w="4999" w:type="dxa"/>
            <w:shd w:val="clear" w:color="auto" w:fill="auto"/>
          </w:tcPr>
          <w:p w14:paraId="5B026D10" w14:textId="77777777" w:rsidR="00140246" w:rsidRPr="009716CD" w:rsidRDefault="00140246" w:rsidP="00C507E9">
            <w:pPr>
              <w:keepNext/>
              <w:keepLines/>
              <w:tabs>
                <w:tab w:val="left" w:pos="284"/>
              </w:tabs>
              <w:spacing w:after="0" w:line="240" w:lineRule="auto"/>
              <w:jc w:val="both"/>
              <w:rPr>
                <w:rFonts w:eastAsia="Times New Roman"/>
                <w:lang w:eastAsia="et-EE"/>
              </w:rPr>
            </w:pPr>
            <w:r w:rsidRPr="009716CD">
              <w:rPr>
                <w:rFonts w:eastAsia="Times New Roman"/>
                <w:lang w:eastAsia="et-EE"/>
              </w:rPr>
              <w:t>Euroopa Sotsiaalfond+ toetus</w:t>
            </w:r>
          </w:p>
        </w:tc>
        <w:tc>
          <w:tcPr>
            <w:tcW w:w="2410" w:type="dxa"/>
            <w:shd w:val="clear" w:color="auto" w:fill="auto"/>
          </w:tcPr>
          <w:p w14:paraId="071EECBC" w14:textId="4ECBBC8D" w:rsidR="00140246" w:rsidRPr="009716CD" w:rsidRDefault="00034C4C" w:rsidP="00034C4C">
            <w:pPr>
              <w:tabs>
                <w:tab w:val="left" w:pos="284"/>
              </w:tabs>
              <w:spacing w:after="0" w:line="240" w:lineRule="auto"/>
              <w:jc w:val="both"/>
              <w:rPr>
                <w:rFonts w:ascii="Arial" w:hAnsi="Arial" w:cs="Arial"/>
                <w:b/>
                <w:bCs/>
                <w:sz w:val="20"/>
                <w:szCs w:val="20"/>
              </w:rPr>
            </w:pPr>
            <w:r w:rsidRPr="009716CD">
              <w:rPr>
                <w:rFonts w:eastAsia="Times New Roman"/>
                <w:lang w:eastAsia="et-EE"/>
              </w:rPr>
              <w:t>4 101 326</w:t>
            </w:r>
          </w:p>
        </w:tc>
        <w:tc>
          <w:tcPr>
            <w:tcW w:w="1289" w:type="dxa"/>
            <w:shd w:val="clear" w:color="auto" w:fill="auto"/>
          </w:tcPr>
          <w:p w14:paraId="486CADAE" w14:textId="77777777" w:rsidR="00140246" w:rsidRPr="009716CD" w:rsidRDefault="00140246" w:rsidP="00C507E9">
            <w:pPr>
              <w:keepNext/>
              <w:keepLines/>
              <w:tabs>
                <w:tab w:val="left" w:pos="284"/>
              </w:tabs>
              <w:spacing w:after="0" w:line="240" w:lineRule="auto"/>
              <w:jc w:val="both"/>
              <w:rPr>
                <w:rFonts w:eastAsia="Times New Roman"/>
                <w:lang w:eastAsia="et-EE"/>
              </w:rPr>
            </w:pPr>
            <w:r w:rsidRPr="009716CD">
              <w:rPr>
                <w:rFonts w:eastAsia="Times New Roman"/>
                <w:lang w:eastAsia="et-EE"/>
              </w:rPr>
              <w:t>70,00%</w:t>
            </w:r>
          </w:p>
        </w:tc>
      </w:tr>
      <w:tr w:rsidR="00E040E6" w:rsidRPr="009716CD" w14:paraId="439589F1" w14:textId="77777777" w:rsidTr="008765C9">
        <w:tc>
          <w:tcPr>
            <w:tcW w:w="529" w:type="dxa"/>
            <w:shd w:val="clear" w:color="auto" w:fill="auto"/>
          </w:tcPr>
          <w:p w14:paraId="15304C95" w14:textId="77777777" w:rsidR="00E040E6" w:rsidRPr="009716CD" w:rsidRDefault="00E040E6" w:rsidP="008765C9">
            <w:pPr>
              <w:tabs>
                <w:tab w:val="left" w:pos="284"/>
              </w:tabs>
              <w:spacing w:after="0" w:line="240" w:lineRule="auto"/>
              <w:jc w:val="both"/>
              <w:rPr>
                <w:rFonts w:eastAsia="Times New Roman"/>
                <w:lang w:eastAsia="et-EE"/>
              </w:rPr>
            </w:pPr>
          </w:p>
        </w:tc>
        <w:tc>
          <w:tcPr>
            <w:tcW w:w="4999" w:type="dxa"/>
            <w:shd w:val="clear" w:color="auto" w:fill="auto"/>
          </w:tcPr>
          <w:p w14:paraId="78F69F55" w14:textId="1BDB0D24" w:rsidR="00E040E6" w:rsidRPr="009716CD" w:rsidRDefault="00E040E6" w:rsidP="008765C9">
            <w:pPr>
              <w:tabs>
                <w:tab w:val="left" w:pos="284"/>
              </w:tabs>
              <w:spacing w:after="0" w:line="240" w:lineRule="auto"/>
              <w:jc w:val="both"/>
              <w:rPr>
                <w:rFonts w:eastAsia="Times New Roman"/>
                <w:lang w:eastAsia="et-EE"/>
              </w:rPr>
            </w:pPr>
            <w:r w:rsidRPr="009716CD">
              <w:rPr>
                <w:rFonts w:eastAsia="Times New Roman"/>
                <w:lang w:eastAsia="et-EE"/>
              </w:rPr>
              <w:t>sealhulgas Tartu linn (2023-202</w:t>
            </w:r>
            <w:r w:rsidR="00CC15E2" w:rsidRPr="009716CD">
              <w:rPr>
                <w:rFonts w:eastAsia="Times New Roman"/>
                <w:lang w:eastAsia="et-EE"/>
              </w:rPr>
              <w:t>5</w:t>
            </w:r>
            <w:r w:rsidRPr="009716CD">
              <w:rPr>
                <w:rFonts w:eastAsia="Times New Roman"/>
                <w:lang w:eastAsia="et-EE"/>
              </w:rPr>
              <w:t>)</w:t>
            </w:r>
          </w:p>
        </w:tc>
        <w:tc>
          <w:tcPr>
            <w:tcW w:w="2410" w:type="dxa"/>
            <w:shd w:val="clear" w:color="auto" w:fill="auto"/>
          </w:tcPr>
          <w:p w14:paraId="284B6A5B" w14:textId="7C64504C" w:rsidR="00E040E6" w:rsidRPr="009716CD" w:rsidRDefault="00A675C0" w:rsidP="008765C9">
            <w:pPr>
              <w:tabs>
                <w:tab w:val="left" w:pos="284"/>
              </w:tabs>
              <w:spacing w:after="0" w:line="240" w:lineRule="auto"/>
              <w:jc w:val="both"/>
              <w:rPr>
                <w:rFonts w:eastAsia="Times New Roman"/>
                <w:lang w:eastAsia="et-EE"/>
              </w:rPr>
            </w:pPr>
            <w:r w:rsidRPr="009716CD">
              <w:rPr>
                <w:rFonts w:eastAsia="Times New Roman"/>
                <w:lang w:eastAsia="et-EE"/>
              </w:rPr>
              <w:t>140 000</w:t>
            </w:r>
          </w:p>
        </w:tc>
        <w:tc>
          <w:tcPr>
            <w:tcW w:w="1289" w:type="dxa"/>
            <w:shd w:val="clear" w:color="auto" w:fill="auto"/>
          </w:tcPr>
          <w:p w14:paraId="703BDCE1" w14:textId="77777777" w:rsidR="00E040E6" w:rsidRPr="009716CD" w:rsidRDefault="00E040E6" w:rsidP="008765C9">
            <w:pPr>
              <w:tabs>
                <w:tab w:val="left" w:pos="284"/>
              </w:tabs>
              <w:spacing w:after="0" w:line="240" w:lineRule="auto"/>
              <w:jc w:val="both"/>
              <w:rPr>
                <w:rFonts w:eastAsia="Times New Roman"/>
                <w:lang w:eastAsia="et-EE"/>
              </w:rPr>
            </w:pPr>
          </w:p>
        </w:tc>
      </w:tr>
      <w:tr w:rsidR="00E040E6" w:rsidRPr="009716CD" w14:paraId="4F7DE674" w14:textId="77777777" w:rsidTr="008765C9">
        <w:tc>
          <w:tcPr>
            <w:tcW w:w="529" w:type="dxa"/>
            <w:shd w:val="clear" w:color="auto" w:fill="auto"/>
          </w:tcPr>
          <w:p w14:paraId="5AD9B319" w14:textId="77777777" w:rsidR="00E040E6" w:rsidRPr="009716CD" w:rsidRDefault="00E040E6" w:rsidP="008765C9">
            <w:pPr>
              <w:tabs>
                <w:tab w:val="left" w:pos="284"/>
              </w:tabs>
              <w:spacing w:after="0" w:line="240" w:lineRule="auto"/>
              <w:jc w:val="both"/>
              <w:rPr>
                <w:rFonts w:eastAsia="Times New Roman"/>
                <w:lang w:eastAsia="et-EE"/>
              </w:rPr>
            </w:pPr>
          </w:p>
        </w:tc>
        <w:tc>
          <w:tcPr>
            <w:tcW w:w="4999" w:type="dxa"/>
            <w:shd w:val="clear" w:color="auto" w:fill="auto"/>
          </w:tcPr>
          <w:p w14:paraId="6CB8AA09" w14:textId="2F622BB2" w:rsidR="00E040E6" w:rsidRPr="009716CD" w:rsidRDefault="00E040E6" w:rsidP="008765C9">
            <w:pPr>
              <w:tabs>
                <w:tab w:val="left" w:pos="284"/>
              </w:tabs>
              <w:spacing w:after="0" w:line="240" w:lineRule="auto"/>
              <w:jc w:val="both"/>
              <w:rPr>
                <w:rFonts w:eastAsia="Times New Roman"/>
                <w:lang w:eastAsia="et-EE"/>
              </w:rPr>
            </w:pPr>
            <w:r w:rsidRPr="009716CD">
              <w:rPr>
                <w:rFonts w:eastAsia="Times New Roman"/>
                <w:lang w:eastAsia="et-EE"/>
              </w:rPr>
              <w:t>Tallinna linn (</w:t>
            </w:r>
            <w:r w:rsidR="00CC15E2" w:rsidRPr="009716CD">
              <w:rPr>
                <w:rFonts w:eastAsia="Times New Roman"/>
                <w:lang w:eastAsia="et-EE"/>
              </w:rPr>
              <w:t>2023-2025)</w:t>
            </w:r>
          </w:p>
        </w:tc>
        <w:tc>
          <w:tcPr>
            <w:tcW w:w="2410" w:type="dxa"/>
            <w:shd w:val="clear" w:color="auto" w:fill="auto"/>
          </w:tcPr>
          <w:p w14:paraId="036000F4" w14:textId="3C49BE00" w:rsidR="00E040E6" w:rsidRPr="009716CD" w:rsidRDefault="00EF79CF" w:rsidP="008765C9">
            <w:pPr>
              <w:tabs>
                <w:tab w:val="left" w:pos="284"/>
              </w:tabs>
              <w:spacing w:after="0" w:line="240" w:lineRule="auto"/>
              <w:jc w:val="both"/>
              <w:rPr>
                <w:rFonts w:eastAsia="Times New Roman"/>
                <w:lang w:eastAsia="et-EE"/>
              </w:rPr>
            </w:pPr>
            <w:r w:rsidRPr="009716CD">
              <w:rPr>
                <w:rFonts w:eastAsia="Times New Roman"/>
                <w:lang w:eastAsia="et-EE"/>
              </w:rPr>
              <w:t>350 000</w:t>
            </w:r>
          </w:p>
        </w:tc>
        <w:tc>
          <w:tcPr>
            <w:tcW w:w="1289" w:type="dxa"/>
            <w:shd w:val="clear" w:color="auto" w:fill="auto"/>
          </w:tcPr>
          <w:p w14:paraId="1511307D" w14:textId="77777777" w:rsidR="00E040E6" w:rsidRPr="009716CD" w:rsidRDefault="00E040E6" w:rsidP="008765C9">
            <w:pPr>
              <w:tabs>
                <w:tab w:val="left" w:pos="284"/>
              </w:tabs>
              <w:spacing w:after="0" w:line="240" w:lineRule="auto"/>
              <w:jc w:val="both"/>
              <w:rPr>
                <w:rFonts w:eastAsia="Times New Roman"/>
                <w:lang w:eastAsia="et-EE"/>
              </w:rPr>
            </w:pPr>
          </w:p>
        </w:tc>
      </w:tr>
      <w:tr w:rsidR="00E040E6" w:rsidRPr="009716CD" w14:paraId="163466B6" w14:textId="77777777" w:rsidTr="008765C9">
        <w:tc>
          <w:tcPr>
            <w:tcW w:w="529" w:type="dxa"/>
            <w:shd w:val="clear" w:color="auto" w:fill="auto"/>
          </w:tcPr>
          <w:p w14:paraId="2BFECF14" w14:textId="77777777" w:rsidR="00E040E6" w:rsidRPr="009716CD" w:rsidRDefault="00E040E6" w:rsidP="008765C9">
            <w:pPr>
              <w:tabs>
                <w:tab w:val="left" w:pos="284"/>
              </w:tabs>
              <w:spacing w:after="0" w:line="240" w:lineRule="auto"/>
              <w:jc w:val="both"/>
              <w:rPr>
                <w:rFonts w:eastAsia="Times New Roman"/>
                <w:lang w:eastAsia="et-EE"/>
              </w:rPr>
            </w:pPr>
          </w:p>
        </w:tc>
        <w:tc>
          <w:tcPr>
            <w:tcW w:w="4999" w:type="dxa"/>
            <w:shd w:val="clear" w:color="auto" w:fill="auto"/>
          </w:tcPr>
          <w:p w14:paraId="695AEB0F" w14:textId="0DB51604" w:rsidR="00E040E6" w:rsidRPr="009716CD" w:rsidRDefault="00E040E6" w:rsidP="008765C9">
            <w:pPr>
              <w:tabs>
                <w:tab w:val="left" w:pos="284"/>
              </w:tabs>
              <w:spacing w:after="0" w:line="240" w:lineRule="auto"/>
              <w:jc w:val="both"/>
              <w:rPr>
                <w:rFonts w:eastAsia="Times New Roman"/>
                <w:lang w:eastAsia="et-EE"/>
              </w:rPr>
            </w:pPr>
            <w:r w:rsidRPr="009716CD">
              <w:rPr>
                <w:rFonts w:eastAsia="Times New Roman"/>
                <w:lang w:eastAsia="et-EE"/>
              </w:rPr>
              <w:t>Rakvere linn (</w:t>
            </w:r>
            <w:r w:rsidR="00CC15E2" w:rsidRPr="009716CD">
              <w:rPr>
                <w:rFonts w:eastAsia="Times New Roman"/>
                <w:lang w:eastAsia="et-EE"/>
              </w:rPr>
              <w:t>2023-2025)</w:t>
            </w:r>
          </w:p>
        </w:tc>
        <w:tc>
          <w:tcPr>
            <w:tcW w:w="2410" w:type="dxa"/>
            <w:shd w:val="clear" w:color="auto" w:fill="auto"/>
          </w:tcPr>
          <w:p w14:paraId="5FF89283" w14:textId="134686EB" w:rsidR="00E040E6" w:rsidRPr="009716CD" w:rsidRDefault="00A675C0" w:rsidP="008765C9">
            <w:pPr>
              <w:tabs>
                <w:tab w:val="left" w:pos="284"/>
              </w:tabs>
              <w:spacing w:after="0" w:line="240" w:lineRule="auto"/>
              <w:jc w:val="both"/>
              <w:rPr>
                <w:rFonts w:eastAsia="Times New Roman"/>
                <w:lang w:eastAsia="et-EE"/>
              </w:rPr>
            </w:pPr>
            <w:r w:rsidRPr="009716CD">
              <w:rPr>
                <w:rFonts w:eastAsia="Times New Roman"/>
                <w:lang w:eastAsia="et-EE"/>
              </w:rPr>
              <w:t>110 075</w:t>
            </w:r>
          </w:p>
        </w:tc>
        <w:tc>
          <w:tcPr>
            <w:tcW w:w="1289" w:type="dxa"/>
            <w:shd w:val="clear" w:color="auto" w:fill="auto"/>
          </w:tcPr>
          <w:p w14:paraId="5E19934A" w14:textId="77777777" w:rsidR="00E040E6" w:rsidRPr="009716CD" w:rsidRDefault="00E040E6" w:rsidP="008765C9">
            <w:pPr>
              <w:tabs>
                <w:tab w:val="left" w:pos="284"/>
              </w:tabs>
              <w:spacing w:after="0" w:line="240" w:lineRule="auto"/>
              <w:jc w:val="both"/>
              <w:rPr>
                <w:rFonts w:eastAsia="Times New Roman"/>
                <w:lang w:eastAsia="et-EE"/>
              </w:rPr>
            </w:pPr>
          </w:p>
        </w:tc>
      </w:tr>
      <w:tr w:rsidR="00A10F94" w:rsidRPr="009716CD" w14:paraId="3A59BED0" w14:textId="77777777" w:rsidTr="00C507E9">
        <w:tc>
          <w:tcPr>
            <w:tcW w:w="529" w:type="dxa"/>
            <w:shd w:val="clear" w:color="auto" w:fill="auto"/>
          </w:tcPr>
          <w:p w14:paraId="50414084" w14:textId="77777777" w:rsidR="00A10F94" w:rsidRPr="009716CD" w:rsidRDefault="00A10F94" w:rsidP="00C507E9">
            <w:pPr>
              <w:tabs>
                <w:tab w:val="left" w:pos="284"/>
              </w:tabs>
              <w:spacing w:after="0" w:line="240" w:lineRule="auto"/>
              <w:jc w:val="both"/>
              <w:rPr>
                <w:rFonts w:eastAsia="Times New Roman"/>
                <w:lang w:eastAsia="et-EE"/>
              </w:rPr>
            </w:pPr>
          </w:p>
        </w:tc>
        <w:tc>
          <w:tcPr>
            <w:tcW w:w="4999" w:type="dxa"/>
            <w:shd w:val="clear" w:color="auto" w:fill="auto"/>
          </w:tcPr>
          <w:p w14:paraId="7254FA5E" w14:textId="637C1DA2" w:rsidR="00A10F94" w:rsidRPr="009716CD" w:rsidRDefault="00A10F94" w:rsidP="00C507E9">
            <w:pPr>
              <w:tabs>
                <w:tab w:val="left" w:pos="284"/>
              </w:tabs>
              <w:spacing w:after="0" w:line="240" w:lineRule="auto"/>
              <w:jc w:val="both"/>
              <w:rPr>
                <w:rFonts w:eastAsia="Times New Roman"/>
                <w:lang w:eastAsia="et-EE"/>
              </w:rPr>
            </w:pPr>
            <w:r w:rsidRPr="009716CD">
              <w:rPr>
                <w:rFonts w:eastAsia="Times New Roman"/>
                <w:lang w:eastAsia="et-EE"/>
              </w:rPr>
              <w:t>Saaremaa vald (2023-2025)</w:t>
            </w:r>
          </w:p>
        </w:tc>
        <w:tc>
          <w:tcPr>
            <w:tcW w:w="2410" w:type="dxa"/>
            <w:shd w:val="clear" w:color="auto" w:fill="auto"/>
          </w:tcPr>
          <w:p w14:paraId="4115D000" w14:textId="5C25E65A" w:rsidR="00A10F94" w:rsidRPr="009716CD" w:rsidRDefault="00042E58" w:rsidP="00C507E9">
            <w:pPr>
              <w:tabs>
                <w:tab w:val="left" w:pos="284"/>
              </w:tabs>
              <w:spacing w:after="0" w:line="240" w:lineRule="auto"/>
              <w:jc w:val="both"/>
              <w:rPr>
                <w:rFonts w:eastAsia="Times New Roman"/>
                <w:lang w:eastAsia="et-EE"/>
              </w:rPr>
            </w:pPr>
            <w:r w:rsidRPr="009716CD">
              <w:rPr>
                <w:rFonts w:eastAsia="Times New Roman"/>
                <w:lang w:eastAsia="et-EE"/>
              </w:rPr>
              <w:t>149 072</w:t>
            </w:r>
          </w:p>
        </w:tc>
        <w:tc>
          <w:tcPr>
            <w:tcW w:w="1289" w:type="dxa"/>
            <w:shd w:val="clear" w:color="auto" w:fill="auto"/>
          </w:tcPr>
          <w:p w14:paraId="7CD9608B" w14:textId="77777777" w:rsidR="00A10F94" w:rsidRPr="009716CD" w:rsidRDefault="00A10F94" w:rsidP="00C507E9">
            <w:pPr>
              <w:tabs>
                <w:tab w:val="left" w:pos="284"/>
              </w:tabs>
              <w:spacing w:after="0" w:line="240" w:lineRule="auto"/>
              <w:jc w:val="both"/>
              <w:rPr>
                <w:rFonts w:eastAsia="Times New Roman"/>
                <w:lang w:eastAsia="et-EE"/>
              </w:rPr>
            </w:pPr>
          </w:p>
        </w:tc>
      </w:tr>
      <w:tr w:rsidR="00E11047" w:rsidRPr="009716CD" w14:paraId="753DC467" w14:textId="77777777" w:rsidTr="00C507E9">
        <w:tc>
          <w:tcPr>
            <w:tcW w:w="529" w:type="dxa"/>
            <w:shd w:val="clear" w:color="auto" w:fill="auto"/>
          </w:tcPr>
          <w:p w14:paraId="1846D8A9" w14:textId="77777777" w:rsidR="00E11047" w:rsidRPr="009716CD" w:rsidRDefault="00E11047" w:rsidP="00C507E9">
            <w:pPr>
              <w:tabs>
                <w:tab w:val="left" w:pos="284"/>
              </w:tabs>
              <w:spacing w:after="0" w:line="240" w:lineRule="auto"/>
              <w:jc w:val="both"/>
              <w:rPr>
                <w:rFonts w:eastAsia="Times New Roman"/>
                <w:lang w:eastAsia="et-EE"/>
              </w:rPr>
            </w:pPr>
          </w:p>
        </w:tc>
        <w:tc>
          <w:tcPr>
            <w:tcW w:w="4999" w:type="dxa"/>
            <w:shd w:val="clear" w:color="auto" w:fill="auto"/>
          </w:tcPr>
          <w:p w14:paraId="70F28742" w14:textId="50B4B9ED" w:rsidR="00E11047" w:rsidRPr="009716CD" w:rsidRDefault="00E11047" w:rsidP="00C507E9">
            <w:pPr>
              <w:tabs>
                <w:tab w:val="left" w:pos="284"/>
              </w:tabs>
              <w:spacing w:after="0" w:line="240" w:lineRule="auto"/>
              <w:jc w:val="both"/>
              <w:rPr>
                <w:rFonts w:eastAsia="Times New Roman"/>
                <w:lang w:eastAsia="et-EE"/>
              </w:rPr>
            </w:pPr>
            <w:r w:rsidRPr="009716CD">
              <w:rPr>
                <w:rFonts w:eastAsia="Times New Roman"/>
                <w:lang w:eastAsia="et-EE"/>
              </w:rPr>
              <w:t>Pärnu linn (2024-2025)</w:t>
            </w:r>
          </w:p>
        </w:tc>
        <w:tc>
          <w:tcPr>
            <w:tcW w:w="2410" w:type="dxa"/>
            <w:shd w:val="clear" w:color="auto" w:fill="auto"/>
          </w:tcPr>
          <w:p w14:paraId="233BF433" w14:textId="30ECBAA3" w:rsidR="00E11047" w:rsidRPr="009716CD" w:rsidRDefault="00E11047" w:rsidP="00C507E9">
            <w:pPr>
              <w:tabs>
                <w:tab w:val="left" w:pos="284"/>
              </w:tabs>
              <w:spacing w:after="0" w:line="240" w:lineRule="auto"/>
              <w:jc w:val="both"/>
              <w:rPr>
                <w:rFonts w:eastAsia="Times New Roman"/>
                <w:lang w:eastAsia="et-EE"/>
              </w:rPr>
            </w:pPr>
            <w:r w:rsidRPr="009716CD">
              <w:rPr>
                <w:rFonts w:eastAsia="Times New Roman"/>
                <w:lang w:eastAsia="et-EE"/>
              </w:rPr>
              <w:t>77 455</w:t>
            </w:r>
          </w:p>
        </w:tc>
        <w:tc>
          <w:tcPr>
            <w:tcW w:w="1289" w:type="dxa"/>
            <w:shd w:val="clear" w:color="auto" w:fill="auto"/>
          </w:tcPr>
          <w:p w14:paraId="4E1420DE" w14:textId="77777777" w:rsidR="00E11047" w:rsidRPr="009716CD" w:rsidRDefault="00E11047" w:rsidP="00C507E9">
            <w:pPr>
              <w:tabs>
                <w:tab w:val="left" w:pos="284"/>
              </w:tabs>
              <w:spacing w:after="0" w:line="240" w:lineRule="auto"/>
              <w:jc w:val="both"/>
              <w:rPr>
                <w:rFonts w:eastAsia="Times New Roman"/>
                <w:lang w:eastAsia="et-EE"/>
              </w:rPr>
            </w:pPr>
          </w:p>
        </w:tc>
      </w:tr>
      <w:tr w:rsidR="00FF4E27" w:rsidRPr="009716CD" w14:paraId="3626D521" w14:textId="77777777" w:rsidTr="00C507E9">
        <w:tc>
          <w:tcPr>
            <w:tcW w:w="529" w:type="dxa"/>
            <w:shd w:val="clear" w:color="auto" w:fill="auto"/>
          </w:tcPr>
          <w:p w14:paraId="70E5665C" w14:textId="77777777" w:rsidR="00FF4E27" w:rsidRPr="009716CD" w:rsidRDefault="00FF4E27" w:rsidP="00C507E9">
            <w:pPr>
              <w:tabs>
                <w:tab w:val="left" w:pos="284"/>
              </w:tabs>
              <w:spacing w:after="0" w:line="240" w:lineRule="auto"/>
              <w:jc w:val="both"/>
              <w:rPr>
                <w:rFonts w:eastAsia="Times New Roman"/>
                <w:lang w:eastAsia="et-EE"/>
              </w:rPr>
            </w:pPr>
          </w:p>
        </w:tc>
        <w:tc>
          <w:tcPr>
            <w:tcW w:w="4999" w:type="dxa"/>
            <w:shd w:val="clear" w:color="auto" w:fill="auto"/>
          </w:tcPr>
          <w:p w14:paraId="2B94D53A" w14:textId="623E59D7" w:rsidR="00FF4E27" w:rsidRPr="009716CD" w:rsidRDefault="00FF4E27" w:rsidP="00C507E9">
            <w:pPr>
              <w:tabs>
                <w:tab w:val="left" w:pos="284"/>
              </w:tabs>
              <w:spacing w:after="0" w:line="240" w:lineRule="auto"/>
              <w:jc w:val="both"/>
              <w:rPr>
                <w:rFonts w:eastAsia="Times New Roman"/>
                <w:lang w:eastAsia="et-EE"/>
              </w:rPr>
            </w:pPr>
            <w:r w:rsidRPr="009716CD">
              <w:rPr>
                <w:rFonts w:eastAsia="Times New Roman"/>
                <w:lang w:eastAsia="et-EE"/>
              </w:rPr>
              <w:t>Jõhvi vald (</w:t>
            </w:r>
            <w:r w:rsidR="00254BE6" w:rsidRPr="009716CD">
              <w:rPr>
                <w:rFonts w:eastAsia="Times New Roman"/>
                <w:lang w:eastAsia="et-EE"/>
              </w:rPr>
              <w:t>202</w:t>
            </w:r>
            <w:r w:rsidR="00D11BB8" w:rsidRPr="009716CD">
              <w:rPr>
                <w:rFonts w:eastAsia="Times New Roman"/>
                <w:lang w:eastAsia="et-EE"/>
              </w:rPr>
              <w:t>5</w:t>
            </w:r>
            <w:r w:rsidR="00254BE6" w:rsidRPr="009716CD">
              <w:rPr>
                <w:rFonts w:eastAsia="Times New Roman"/>
                <w:lang w:eastAsia="et-EE"/>
              </w:rPr>
              <w:t>-2026)</w:t>
            </w:r>
          </w:p>
        </w:tc>
        <w:tc>
          <w:tcPr>
            <w:tcW w:w="2410" w:type="dxa"/>
            <w:shd w:val="clear" w:color="auto" w:fill="auto"/>
          </w:tcPr>
          <w:p w14:paraId="07C4EB04" w14:textId="05067665" w:rsidR="00FF4E27" w:rsidRPr="009716CD" w:rsidRDefault="00254BE6" w:rsidP="00C507E9">
            <w:pPr>
              <w:tabs>
                <w:tab w:val="left" w:pos="284"/>
              </w:tabs>
              <w:spacing w:after="0" w:line="240" w:lineRule="auto"/>
              <w:jc w:val="both"/>
              <w:rPr>
                <w:rFonts w:eastAsia="Times New Roman"/>
                <w:lang w:eastAsia="et-EE"/>
              </w:rPr>
            </w:pPr>
            <w:r w:rsidRPr="009716CD">
              <w:rPr>
                <w:rFonts w:eastAsia="Times New Roman"/>
                <w:lang w:eastAsia="et-EE"/>
              </w:rPr>
              <w:t>177 382,1</w:t>
            </w:r>
          </w:p>
        </w:tc>
        <w:tc>
          <w:tcPr>
            <w:tcW w:w="1289" w:type="dxa"/>
            <w:shd w:val="clear" w:color="auto" w:fill="auto"/>
          </w:tcPr>
          <w:p w14:paraId="28789CDF" w14:textId="77777777" w:rsidR="00FF4E27" w:rsidRPr="009716CD" w:rsidRDefault="00FF4E27" w:rsidP="00C507E9">
            <w:pPr>
              <w:tabs>
                <w:tab w:val="left" w:pos="284"/>
              </w:tabs>
              <w:spacing w:after="0" w:line="240" w:lineRule="auto"/>
              <w:jc w:val="both"/>
              <w:rPr>
                <w:rFonts w:eastAsia="Times New Roman"/>
                <w:lang w:eastAsia="et-EE"/>
              </w:rPr>
            </w:pPr>
          </w:p>
        </w:tc>
      </w:tr>
      <w:tr w:rsidR="00A01666" w:rsidRPr="009716CD" w14:paraId="69FAEF84" w14:textId="77777777" w:rsidTr="00C507E9">
        <w:tc>
          <w:tcPr>
            <w:tcW w:w="529" w:type="dxa"/>
            <w:shd w:val="clear" w:color="auto" w:fill="auto"/>
          </w:tcPr>
          <w:p w14:paraId="0AE76F2D" w14:textId="77777777" w:rsidR="00A01666" w:rsidRPr="009716CD" w:rsidRDefault="00A01666" w:rsidP="00C507E9">
            <w:pPr>
              <w:tabs>
                <w:tab w:val="left" w:pos="284"/>
              </w:tabs>
              <w:spacing w:after="0" w:line="240" w:lineRule="auto"/>
              <w:jc w:val="both"/>
              <w:rPr>
                <w:rFonts w:eastAsia="Times New Roman"/>
                <w:lang w:eastAsia="et-EE"/>
              </w:rPr>
            </w:pPr>
          </w:p>
        </w:tc>
        <w:tc>
          <w:tcPr>
            <w:tcW w:w="4999" w:type="dxa"/>
            <w:shd w:val="clear" w:color="auto" w:fill="auto"/>
          </w:tcPr>
          <w:p w14:paraId="6BA0C652" w14:textId="47FC58FB" w:rsidR="00A01666" w:rsidRPr="009716CD" w:rsidRDefault="007B44CE" w:rsidP="00C507E9">
            <w:pPr>
              <w:tabs>
                <w:tab w:val="left" w:pos="284"/>
              </w:tabs>
              <w:spacing w:after="0" w:line="240" w:lineRule="auto"/>
              <w:jc w:val="both"/>
              <w:rPr>
                <w:rFonts w:eastAsia="Times New Roman"/>
                <w:lang w:eastAsia="et-EE"/>
              </w:rPr>
            </w:pPr>
            <w:r w:rsidRPr="009716CD">
              <w:rPr>
                <w:rFonts w:eastAsia="Times New Roman"/>
                <w:lang w:eastAsia="et-EE"/>
              </w:rPr>
              <w:t>Haapsalu linn (2024-2026)</w:t>
            </w:r>
          </w:p>
        </w:tc>
        <w:tc>
          <w:tcPr>
            <w:tcW w:w="2410" w:type="dxa"/>
            <w:shd w:val="clear" w:color="auto" w:fill="auto"/>
          </w:tcPr>
          <w:p w14:paraId="11E521BE" w14:textId="771BD251" w:rsidR="00A01666" w:rsidRPr="009716CD" w:rsidRDefault="00793711" w:rsidP="00C507E9">
            <w:pPr>
              <w:tabs>
                <w:tab w:val="left" w:pos="284"/>
              </w:tabs>
              <w:spacing w:after="0" w:line="240" w:lineRule="auto"/>
              <w:jc w:val="both"/>
              <w:rPr>
                <w:rFonts w:eastAsia="Times New Roman"/>
                <w:lang w:eastAsia="et-EE"/>
              </w:rPr>
            </w:pPr>
            <w:r w:rsidRPr="009716CD">
              <w:rPr>
                <w:rFonts w:eastAsia="Times New Roman"/>
                <w:lang w:eastAsia="et-EE"/>
              </w:rPr>
              <w:t>212 910,60</w:t>
            </w:r>
          </w:p>
        </w:tc>
        <w:tc>
          <w:tcPr>
            <w:tcW w:w="1289" w:type="dxa"/>
            <w:shd w:val="clear" w:color="auto" w:fill="auto"/>
          </w:tcPr>
          <w:p w14:paraId="1E4C2382" w14:textId="77777777" w:rsidR="00A01666" w:rsidRPr="009716CD" w:rsidRDefault="00A01666" w:rsidP="00C507E9">
            <w:pPr>
              <w:tabs>
                <w:tab w:val="left" w:pos="284"/>
              </w:tabs>
              <w:spacing w:after="0" w:line="240" w:lineRule="auto"/>
              <w:jc w:val="both"/>
              <w:rPr>
                <w:rFonts w:eastAsia="Times New Roman"/>
                <w:lang w:eastAsia="et-EE"/>
              </w:rPr>
            </w:pPr>
          </w:p>
        </w:tc>
      </w:tr>
      <w:tr w:rsidR="00413DF8" w:rsidRPr="009716CD" w14:paraId="7753C3B5" w14:textId="77777777" w:rsidTr="00C507E9">
        <w:tc>
          <w:tcPr>
            <w:tcW w:w="529" w:type="dxa"/>
            <w:shd w:val="clear" w:color="auto" w:fill="auto"/>
          </w:tcPr>
          <w:p w14:paraId="79D8FF02" w14:textId="77777777" w:rsidR="00413DF8" w:rsidRPr="009716CD" w:rsidRDefault="00413DF8" w:rsidP="00C507E9">
            <w:pPr>
              <w:tabs>
                <w:tab w:val="left" w:pos="284"/>
              </w:tabs>
              <w:spacing w:after="0" w:line="240" w:lineRule="auto"/>
              <w:jc w:val="both"/>
              <w:rPr>
                <w:rFonts w:eastAsia="Times New Roman"/>
                <w:lang w:eastAsia="et-EE"/>
              </w:rPr>
            </w:pPr>
          </w:p>
        </w:tc>
        <w:tc>
          <w:tcPr>
            <w:tcW w:w="4999" w:type="dxa"/>
            <w:shd w:val="clear" w:color="auto" w:fill="auto"/>
          </w:tcPr>
          <w:p w14:paraId="14BBE152" w14:textId="48F94DB1" w:rsidR="00413DF8" w:rsidRPr="009716CD" w:rsidRDefault="007B44CE" w:rsidP="00C507E9">
            <w:pPr>
              <w:tabs>
                <w:tab w:val="left" w:pos="284"/>
              </w:tabs>
              <w:spacing w:after="0" w:line="240" w:lineRule="auto"/>
              <w:jc w:val="both"/>
              <w:rPr>
                <w:rFonts w:eastAsia="Times New Roman"/>
                <w:lang w:eastAsia="et-EE"/>
              </w:rPr>
            </w:pPr>
            <w:r w:rsidRPr="009716CD">
              <w:rPr>
                <w:rFonts w:eastAsia="Times New Roman"/>
                <w:lang w:eastAsia="et-EE"/>
              </w:rPr>
              <w:t>Kohtla-Järve linn (202</w:t>
            </w:r>
            <w:r w:rsidR="003F092C" w:rsidRPr="009716CD">
              <w:rPr>
                <w:rFonts w:eastAsia="Times New Roman"/>
                <w:lang w:eastAsia="et-EE"/>
              </w:rPr>
              <w:t>5</w:t>
            </w:r>
            <w:r w:rsidRPr="009716CD">
              <w:rPr>
                <w:rFonts w:eastAsia="Times New Roman"/>
                <w:lang w:eastAsia="et-EE"/>
              </w:rPr>
              <w:t>-202</w:t>
            </w:r>
            <w:r w:rsidR="003F092C" w:rsidRPr="009716CD">
              <w:rPr>
                <w:rFonts w:eastAsia="Times New Roman"/>
                <w:lang w:eastAsia="et-EE"/>
              </w:rPr>
              <w:t>7</w:t>
            </w:r>
            <w:r w:rsidRPr="009716CD">
              <w:rPr>
                <w:rFonts w:eastAsia="Times New Roman"/>
                <w:lang w:eastAsia="et-EE"/>
              </w:rPr>
              <w:t>)</w:t>
            </w:r>
          </w:p>
        </w:tc>
        <w:tc>
          <w:tcPr>
            <w:tcW w:w="2410" w:type="dxa"/>
            <w:shd w:val="clear" w:color="auto" w:fill="auto"/>
          </w:tcPr>
          <w:p w14:paraId="06BFC85B" w14:textId="5F8B0AB2" w:rsidR="00413DF8" w:rsidRPr="009716CD" w:rsidRDefault="00927253" w:rsidP="00C507E9">
            <w:pPr>
              <w:tabs>
                <w:tab w:val="left" w:pos="284"/>
              </w:tabs>
              <w:spacing w:after="0" w:line="240" w:lineRule="auto"/>
              <w:jc w:val="both"/>
              <w:rPr>
                <w:rFonts w:eastAsia="Times New Roman"/>
                <w:lang w:eastAsia="et-EE"/>
              </w:rPr>
            </w:pPr>
            <w:r w:rsidRPr="009716CD">
              <w:rPr>
                <w:rFonts w:eastAsia="Times New Roman"/>
                <w:lang w:eastAsia="et-EE"/>
              </w:rPr>
              <w:t>250 376</w:t>
            </w:r>
          </w:p>
        </w:tc>
        <w:tc>
          <w:tcPr>
            <w:tcW w:w="1289" w:type="dxa"/>
            <w:shd w:val="clear" w:color="auto" w:fill="auto"/>
          </w:tcPr>
          <w:p w14:paraId="0675FC11" w14:textId="77777777" w:rsidR="00413DF8" w:rsidRPr="009716CD" w:rsidRDefault="00413DF8" w:rsidP="00C507E9">
            <w:pPr>
              <w:tabs>
                <w:tab w:val="left" w:pos="284"/>
              </w:tabs>
              <w:spacing w:after="0" w:line="240" w:lineRule="auto"/>
              <w:jc w:val="both"/>
              <w:rPr>
                <w:rFonts w:eastAsia="Times New Roman"/>
                <w:lang w:eastAsia="et-EE"/>
              </w:rPr>
            </w:pPr>
          </w:p>
        </w:tc>
      </w:tr>
      <w:tr w:rsidR="00140246" w:rsidRPr="009716CD" w14:paraId="61AE8D15" w14:textId="77777777" w:rsidTr="00C507E9">
        <w:tc>
          <w:tcPr>
            <w:tcW w:w="529" w:type="dxa"/>
            <w:shd w:val="clear" w:color="auto" w:fill="auto"/>
          </w:tcPr>
          <w:p w14:paraId="67A9F660" w14:textId="4DAC5AC7" w:rsidR="00140246" w:rsidRPr="009716CD" w:rsidRDefault="00BB1FD4" w:rsidP="00C507E9">
            <w:pPr>
              <w:tabs>
                <w:tab w:val="left" w:pos="284"/>
              </w:tabs>
              <w:spacing w:after="0" w:line="240" w:lineRule="auto"/>
              <w:jc w:val="both"/>
              <w:rPr>
                <w:rFonts w:eastAsia="Times New Roman"/>
                <w:lang w:eastAsia="et-EE"/>
              </w:rPr>
            </w:pPr>
            <w:r w:rsidRPr="009716CD">
              <w:rPr>
                <w:rFonts w:eastAsia="Times New Roman"/>
                <w:lang w:eastAsia="et-EE"/>
              </w:rPr>
              <w:t>1</w:t>
            </w:r>
            <w:r w:rsidR="00140246" w:rsidRPr="009716CD">
              <w:rPr>
                <w:rFonts w:eastAsia="Times New Roman"/>
                <w:lang w:eastAsia="et-EE"/>
              </w:rPr>
              <w:t>.2</w:t>
            </w:r>
          </w:p>
        </w:tc>
        <w:tc>
          <w:tcPr>
            <w:tcW w:w="4999" w:type="dxa"/>
            <w:shd w:val="clear" w:color="auto" w:fill="auto"/>
          </w:tcPr>
          <w:p w14:paraId="7E5DBFA6" w14:textId="77777777" w:rsidR="00140246" w:rsidRPr="009716CD" w:rsidRDefault="00140246" w:rsidP="00C507E9">
            <w:pPr>
              <w:tabs>
                <w:tab w:val="left" w:pos="284"/>
              </w:tabs>
              <w:spacing w:after="0" w:line="240" w:lineRule="auto"/>
              <w:jc w:val="both"/>
              <w:rPr>
                <w:rFonts w:eastAsia="Times New Roman"/>
                <w:lang w:eastAsia="et-EE"/>
              </w:rPr>
            </w:pPr>
            <w:r w:rsidRPr="009716CD">
              <w:rPr>
                <w:rFonts w:eastAsia="Times New Roman"/>
                <w:lang w:eastAsia="et-EE"/>
              </w:rPr>
              <w:t>Riiklik kaasfinantseering</w:t>
            </w:r>
          </w:p>
        </w:tc>
        <w:tc>
          <w:tcPr>
            <w:tcW w:w="2410" w:type="dxa"/>
            <w:shd w:val="clear" w:color="auto" w:fill="auto"/>
          </w:tcPr>
          <w:p w14:paraId="6D8E5064" w14:textId="3CE2BDAA" w:rsidR="00140246" w:rsidRPr="009716CD" w:rsidRDefault="00E924C1" w:rsidP="00C507E9">
            <w:pPr>
              <w:tabs>
                <w:tab w:val="left" w:pos="284"/>
              </w:tabs>
              <w:spacing w:after="0" w:line="240" w:lineRule="auto"/>
              <w:jc w:val="both"/>
              <w:rPr>
                <w:rFonts w:eastAsia="Times New Roman"/>
                <w:lang w:eastAsia="et-EE"/>
              </w:rPr>
            </w:pPr>
            <w:r w:rsidRPr="009716CD">
              <w:rPr>
                <w:rFonts w:eastAsia="Times New Roman"/>
                <w:lang w:eastAsia="et-EE"/>
              </w:rPr>
              <w:t>1 757 711</w:t>
            </w:r>
          </w:p>
        </w:tc>
        <w:tc>
          <w:tcPr>
            <w:tcW w:w="1289" w:type="dxa"/>
            <w:shd w:val="clear" w:color="auto" w:fill="auto"/>
          </w:tcPr>
          <w:p w14:paraId="07AF0DBC" w14:textId="77777777" w:rsidR="00140246" w:rsidRPr="009716CD" w:rsidRDefault="00140246" w:rsidP="00C507E9">
            <w:pPr>
              <w:tabs>
                <w:tab w:val="left" w:pos="284"/>
              </w:tabs>
              <w:spacing w:after="0" w:line="240" w:lineRule="auto"/>
              <w:jc w:val="both"/>
              <w:rPr>
                <w:rFonts w:eastAsia="Times New Roman"/>
                <w:lang w:eastAsia="et-EE"/>
              </w:rPr>
            </w:pPr>
            <w:r w:rsidRPr="009716CD">
              <w:rPr>
                <w:rFonts w:eastAsia="Times New Roman"/>
                <w:lang w:eastAsia="et-EE"/>
              </w:rPr>
              <w:t>30,00%</w:t>
            </w:r>
          </w:p>
        </w:tc>
      </w:tr>
      <w:tr w:rsidR="00E040E6" w:rsidRPr="009716CD" w14:paraId="2A0533BB" w14:textId="77777777" w:rsidTr="00C507E9">
        <w:tc>
          <w:tcPr>
            <w:tcW w:w="529" w:type="dxa"/>
            <w:shd w:val="clear" w:color="auto" w:fill="auto"/>
          </w:tcPr>
          <w:p w14:paraId="56D86830" w14:textId="77777777" w:rsidR="00E040E6" w:rsidRPr="009716CD" w:rsidRDefault="00E040E6" w:rsidP="00E040E6">
            <w:pPr>
              <w:tabs>
                <w:tab w:val="left" w:pos="284"/>
              </w:tabs>
              <w:spacing w:after="0" w:line="240" w:lineRule="auto"/>
              <w:jc w:val="both"/>
              <w:rPr>
                <w:rFonts w:eastAsia="Times New Roman"/>
                <w:lang w:eastAsia="et-EE"/>
              </w:rPr>
            </w:pPr>
          </w:p>
        </w:tc>
        <w:tc>
          <w:tcPr>
            <w:tcW w:w="4999" w:type="dxa"/>
            <w:shd w:val="clear" w:color="auto" w:fill="auto"/>
          </w:tcPr>
          <w:p w14:paraId="4721EACE" w14:textId="741587F7" w:rsidR="00E040E6" w:rsidRPr="009716CD" w:rsidRDefault="00E040E6" w:rsidP="00E040E6">
            <w:pPr>
              <w:tabs>
                <w:tab w:val="left" w:pos="284"/>
              </w:tabs>
              <w:spacing w:after="0" w:line="240" w:lineRule="auto"/>
              <w:jc w:val="both"/>
              <w:rPr>
                <w:rFonts w:eastAsia="Times New Roman"/>
                <w:lang w:eastAsia="et-EE"/>
              </w:rPr>
            </w:pPr>
            <w:r w:rsidRPr="009716CD">
              <w:t xml:space="preserve">sealhulgas Tartu linn </w:t>
            </w:r>
            <w:r w:rsidR="00CC15E2" w:rsidRPr="009716CD">
              <w:t>(2023-2025)</w:t>
            </w:r>
          </w:p>
        </w:tc>
        <w:tc>
          <w:tcPr>
            <w:tcW w:w="2410" w:type="dxa"/>
            <w:shd w:val="clear" w:color="auto" w:fill="auto"/>
          </w:tcPr>
          <w:p w14:paraId="7B39B3DA" w14:textId="5E5B9233" w:rsidR="00E040E6" w:rsidRPr="009716CD" w:rsidRDefault="00A675C0" w:rsidP="00E040E6">
            <w:pPr>
              <w:tabs>
                <w:tab w:val="left" w:pos="284"/>
              </w:tabs>
              <w:spacing w:after="0" w:line="240" w:lineRule="auto"/>
              <w:jc w:val="both"/>
              <w:rPr>
                <w:rFonts w:eastAsia="Times New Roman"/>
                <w:lang w:eastAsia="et-EE"/>
              </w:rPr>
            </w:pPr>
            <w:r w:rsidRPr="009716CD">
              <w:rPr>
                <w:rFonts w:eastAsia="Times New Roman"/>
                <w:lang w:eastAsia="et-EE"/>
              </w:rPr>
              <w:t>60 000</w:t>
            </w:r>
          </w:p>
        </w:tc>
        <w:tc>
          <w:tcPr>
            <w:tcW w:w="1289" w:type="dxa"/>
            <w:shd w:val="clear" w:color="auto" w:fill="auto"/>
          </w:tcPr>
          <w:p w14:paraId="6FB5BC49" w14:textId="77777777" w:rsidR="00E040E6" w:rsidRPr="009716CD" w:rsidRDefault="00E040E6" w:rsidP="00E040E6">
            <w:pPr>
              <w:tabs>
                <w:tab w:val="left" w:pos="284"/>
              </w:tabs>
              <w:spacing w:after="0" w:line="240" w:lineRule="auto"/>
              <w:jc w:val="both"/>
              <w:rPr>
                <w:rFonts w:eastAsia="Times New Roman"/>
                <w:lang w:eastAsia="et-EE"/>
              </w:rPr>
            </w:pPr>
          </w:p>
        </w:tc>
      </w:tr>
      <w:tr w:rsidR="00E040E6" w:rsidRPr="009716CD" w14:paraId="55DA939C" w14:textId="77777777" w:rsidTr="00C507E9">
        <w:tc>
          <w:tcPr>
            <w:tcW w:w="529" w:type="dxa"/>
            <w:shd w:val="clear" w:color="auto" w:fill="auto"/>
          </w:tcPr>
          <w:p w14:paraId="5C025023" w14:textId="77777777" w:rsidR="00E040E6" w:rsidRPr="009716CD" w:rsidRDefault="00E040E6" w:rsidP="00E040E6">
            <w:pPr>
              <w:tabs>
                <w:tab w:val="left" w:pos="284"/>
              </w:tabs>
              <w:spacing w:after="0" w:line="240" w:lineRule="auto"/>
              <w:jc w:val="both"/>
              <w:rPr>
                <w:rFonts w:eastAsia="Times New Roman"/>
                <w:lang w:eastAsia="et-EE"/>
              </w:rPr>
            </w:pPr>
          </w:p>
        </w:tc>
        <w:tc>
          <w:tcPr>
            <w:tcW w:w="4999" w:type="dxa"/>
            <w:shd w:val="clear" w:color="auto" w:fill="auto"/>
          </w:tcPr>
          <w:p w14:paraId="5FC93F2E" w14:textId="19195D6E" w:rsidR="00E040E6" w:rsidRPr="009716CD" w:rsidRDefault="00E040E6" w:rsidP="00E040E6">
            <w:pPr>
              <w:tabs>
                <w:tab w:val="left" w:pos="284"/>
              </w:tabs>
              <w:spacing w:after="0" w:line="240" w:lineRule="auto"/>
              <w:jc w:val="both"/>
              <w:rPr>
                <w:rFonts w:eastAsia="Times New Roman"/>
                <w:lang w:eastAsia="et-EE"/>
              </w:rPr>
            </w:pPr>
            <w:r w:rsidRPr="009716CD">
              <w:t xml:space="preserve">Tallinna linn </w:t>
            </w:r>
            <w:r w:rsidR="00CC15E2" w:rsidRPr="009716CD">
              <w:t xml:space="preserve">(2023-2025) </w:t>
            </w:r>
          </w:p>
        </w:tc>
        <w:tc>
          <w:tcPr>
            <w:tcW w:w="2410" w:type="dxa"/>
            <w:shd w:val="clear" w:color="auto" w:fill="auto"/>
          </w:tcPr>
          <w:p w14:paraId="4689BA34" w14:textId="7701A863" w:rsidR="00E040E6" w:rsidRPr="009716CD" w:rsidRDefault="00EF79CF" w:rsidP="00E040E6">
            <w:pPr>
              <w:tabs>
                <w:tab w:val="left" w:pos="284"/>
              </w:tabs>
              <w:spacing w:after="0" w:line="240" w:lineRule="auto"/>
              <w:jc w:val="both"/>
              <w:rPr>
                <w:rFonts w:eastAsia="Times New Roman"/>
                <w:lang w:eastAsia="et-EE"/>
              </w:rPr>
            </w:pPr>
            <w:r w:rsidRPr="009716CD">
              <w:rPr>
                <w:rFonts w:eastAsia="Times New Roman"/>
                <w:lang w:eastAsia="et-EE"/>
              </w:rPr>
              <w:t>150 000</w:t>
            </w:r>
          </w:p>
        </w:tc>
        <w:tc>
          <w:tcPr>
            <w:tcW w:w="1289" w:type="dxa"/>
            <w:shd w:val="clear" w:color="auto" w:fill="auto"/>
          </w:tcPr>
          <w:p w14:paraId="2CB92559" w14:textId="77777777" w:rsidR="00E040E6" w:rsidRPr="009716CD" w:rsidRDefault="00E040E6" w:rsidP="00E040E6">
            <w:pPr>
              <w:tabs>
                <w:tab w:val="left" w:pos="284"/>
              </w:tabs>
              <w:spacing w:after="0" w:line="240" w:lineRule="auto"/>
              <w:jc w:val="both"/>
              <w:rPr>
                <w:rFonts w:eastAsia="Times New Roman"/>
                <w:lang w:eastAsia="et-EE"/>
              </w:rPr>
            </w:pPr>
          </w:p>
        </w:tc>
      </w:tr>
      <w:tr w:rsidR="00E040E6" w:rsidRPr="009716CD" w14:paraId="1D8F0FC5" w14:textId="77777777" w:rsidTr="00C507E9">
        <w:tc>
          <w:tcPr>
            <w:tcW w:w="529" w:type="dxa"/>
            <w:shd w:val="clear" w:color="auto" w:fill="auto"/>
          </w:tcPr>
          <w:p w14:paraId="547B715E" w14:textId="77777777" w:rsidR="00E040E6" w:rsidRPr="009716CD" w:rsidRDefault="00E040E6" w:rsidP="00E040E6">
            <w:pPr>
              <w:tabs>
                <w:tab w:val="left" w:pos="284"/>
              </w:tabs>
              <w:spacing w:after="0" w:line="240" w:lineRule="auto"/>
              <w:jc w:val="both"/>
              <w:rPr>
                <w:rFonts w:eastAsia="Times New Roman"/>
                <w:lang w:eastAsia="et-EE"/>
              </w:rPr>
            </w:pPr>
          </w:p>
        </w:tc>
        <w:tc>
          <w:tcPr>
            <w:tcW w:w="4999" w:type="dxa"/>
            <w:shd w:val="clear" w:color="auto" w:fill="auto"/>
          </w:tcPr>
          <w:p w14:paraId="1EB918CA" w14:textId="38F4B6FF" w:rsidR="00E040E6" w:rsidRPr="009716CD" w:rsidRDefault="00E040E6" w:rsidP="00E040E6">
            <w:pPr>
              <w:tabs>
                <w:tab w:val="left" w:pos="284"/>
              </w:tabs>
              <w:spacing w:after="0" w:line="240" w:lineRule="auto"/>
              <w:jc w:val="both"/>
              <w:rPr>
                <w:rFonts w:eastAsia="Times New Roman"/>
                <w:lang w:eastAsia="et-EE"/>
              </w:rPr>
            </w:pPr>
            <w:r w:rsidRPr="009716CD">
              <w:t xml:space="preserve">Rakvere linn </w:t>
            </w:r>
            <w:r w:rsidR="00CC15E2" w:rsidRPr="009716CD">
              <w:t xml:space="preserve">(2023-2025) </w:t>
            </w:r>
          </w:p>
        </w:tc>
        <w:tc>
          <w:tcPr>
            <w:tcW w:w="2410" w:type="dxa"/>
            <w:shd w:val="clear" w:color="auto" w:fill="auto"/>
          </w:tcPr>
          <w:p w14:paraId="3DF8B79A" w14:textId="42F3F6FD" w:rsidR="00E040E6" w:rsidRPr="009716CD" w:rsidRDefault="00A675C0" w:rsidP="00E040E6">
            <w:pPr>
              <w:tabs>
                <w:tab w:val="left" w:pos="284"/>
              </w:tabs>
              <w:spacing w:after="0" w:line="240" w:lineRule="auto"/>
              <w:jc w:val="both"/>
              <w:rPr>
                <w:rFonts w:eastAsia="Times New Roman"/>
                <w:lang w:eastAsia="et-EE"/>
              </w:rPr>
            </w:pPr>
            <w:r w:rsidRPr="009716CD">
              <w:rPr>
                <w:rFonts w:eastAsia="Times New Roman"/>
                <w:lang w:eastAsia="et-EE"/>
              </w:rPr>
              <w:t>47 175</w:t>
            </w:r>
          </w:p>
        </w:tc>
        <w:tc>
          <w:tcPr>
            <w:tcW w:w="1289" w:type="dxa"/>
            <w:shd w:val="clear" w:color="auto" w:fill="auto"/>
          </w:tcPr>
          <w:p w14:paraId="09A86DF5" w14:textId="77777777" w:rsidR="00E040E6" w:rsidRPr="009716CD" w:rsidRDefault="00E040E6" w:rsidP="00E040E6">
            <w:pPr>
              <w:tabs>
                <w:tab w:val="left" w:pos="284"/>
              </w:tabs>
              <w:spacing w:after="0" w:line="240" w:lineRule="auto"/>
              <w:jc w:val="both"/>
              <w:rPr>
                <w:rFonts w:eastAsia="Times New Roman"/>
                <w:lang w:eastAsia="et-EE"/>
              </w:rPr>
            </w:pPr>
          </w:p>
        </w:tc>
      </w:tr>
      <w:tr w:rsidR="00A10F94" w:rsidRPr="009716CD" w14:paraId="7642090D" w14:textId="77777777" w:rsidTr="00C507E9">
        <w:tc>
          <w:tcPr>
            <w:tcW w:w="529" w:type="dxa"/>
            <w:shd w:val="clear" w:color="auto" w:fill="auto"/>
          </w:tcPr>
          <w:p w14:paraId="21FE9DEF" w14:textId="77777777" w:rsidR="00A10F94" w:rsidRPr="009716CD" w:rsidRDefault="00A10F94" w:rsidP="00E040E6">
            <w:pPr>
              <w:tabs>
                <w:tab w:val="left" w:pos="284"/>
              </w:tabs>
              <w:spacing w:after="0" w:line="240" w:lineRule="auto"/>
              <w:jc w:val="both"/>
              <w:rPr>
                <w:rFonts w:eastAsia="Times New Roman"/>
                <w:lang w:eastAsia="et-EE"/>
              </w:rPr>
            </w:pPr>
          </w:p>
        </w:tc>
        <w:tc>
          <w:tcPr>
            <w:tcW w:w="4999" w:type="dxa"/>
            <w:shd w:val="clear" w:color="auto" w:fill="auto"/>
          </w:tcPr>
          <w:p w14:paraId="3FFD9A30" w14:textId="252EEB89" w:rsidR="00A10F94" w:rsidRPr="009716CD" w:rsidRDefault="00A10F94" w:rsidP="00E040E6">
            <w:pPr>
              <w:tabs>
                <w:tab w:val="left" w:pos="284"/>
              </w:tabs>
              <w:spacing w:after="0" w:line="240" w:lineRule="auto"/>
              <w:jc w:val="both"/>
              <w:rPr>
                <w:rFonts w:eastAsia="Times New Roman"/>
                <w:lang w:eastAsia="et-EE"/>
              </w:rPr>
            </w:pPr>
            <w:r w:rsidRPr="009716CD">
              <w:rPr>
                <w:rFonts w:eastAsia="Times New Roman"/>
                <w:lang w:eastAsia="et-EE"/>
              </w:rPr>
              <w:t>Saaremaa vald (2023-2025)</w:t>
            </w:r>
          </w:p>
        </w:tc>
        <w:tc>
          <w:tcPr>
            <w:tcW w:w="2410" w:type="dxa"/>
            <w:shd w:val="clear" w:color="auto" w:fill="auto"/>
          </w:tcPr>
          <w:p w14:paraId="7F10FE66" w14:textId="0251BCB7" w:rsidR="00A10F94" w:rsidRPr="009716CD" w:rsidRDefault="00042E58" w:rsidP="00E040E6">
            <w:pPr>
              <w:tabs>
                <w:tab w:val="left" w:pos="284"/>
              </w:tabs>
              <w:spacing w:after="0" w:line="240" w:lineRule="auto"/>
              <w:jc w:val="both"/>
              <w:rPr>
                <w:rFonts w:eastAsia="Times New Roman"/>
                <w:lang w:eastAsia="et-EE"/>
              </w:rPr>
            </w:pPr>
            <w:r w:rsidRPr="009716CD">
              <w:rPr>
                <w:rFonts w:eastAsia="Times New Roman"/>
                <w:lang w:eastAsia="et-EE"/>
              </w:rPr>
              <w:t>63 888</w:t>
            </w:r>
          </w:p>
        </w:tc>
        <w:tc>
          <w:tcPr>
            <w:tcW w:w="1289" w:type="dxa"/>
            <w:shd w:val="clear" w:color="auto" w:fill="auto"/>
          </w:tcPr>
          <w:p w14:paraId="49FC7C86" w14:textId="77777777" w:rsidR="00A10F94" w:rsidRPr="009716CD" w:rsidRDefault="00A10F94" w:rsidP="00E040E6">
            <w:pPr>
              <w:tabs>
                <w:tab w:val="left" w:pos="284"/>
              </w:tabs>
              <w:spacing w:after="0" w:line="240" w:lineRule="auto"/>
              <w:jc w:val="both"/>
              <w:rPr>
                <w:rFonts w:eastAsia="Times New Roman"/>
                <w:lang w:eastAsia="et-EE"/>
              </w:rPr>
            </w:pPr>
          </w:p>
        </w:tc>
      </w:tr>
      <w:tr w:rsidR="00E11047" w:rsidRPr="009716CD" w14:paraId="5AF9F699" w14:textId="77777777" w:rsidTr="00C507E9">
        <w:tc>
          <w:tcPr>
            <w:tcW w:w="529" w:type="dxa"/>
            <w:shd w:val="clear" w:color="auto" w:fill="auto"/>
          </w:tcPr>
          <w:p w14:paraId="503A108A" w14:textId="77777777" w:rsidR="00E11047" w:rsidRPr="009716CD" w:rsidRDefault="00E11047" w:rsidP="00E040E6">
            <w:pPr>
              <w:tabs>
                <w:tab w:val="left" w:pos="284"/>
              </w:tabs>
              <w:spacing w:after="0" w:line="240" w:lineRule="auto"/>
              <w:jc w:val="both"/>
              <w:rPr>
                <w:rFonts w:eastAsia="Times New Roman"/>
                <w:lang w:eastAsia="et-EE"/>
              </w:rPr>
            </w:pPr>
          </w:p>
        </w:tc>
        <w:tc>
          <w:tcPr>
            <w:tcW w:w="4999" w:type="dxa"/>
            <w:shd w:val="clear" w:color="auto" w:fill="auto"/>
          </w:tcPr>
          <w:p w14:paraId="5E99562C" w14:textId="2AE03929" w:rsidR="00E11047" w:rsidRPr="009716CD" w:rsidRDefault="00E11047" w:rsidP="00E040E6">
            <w:pPr>
              <w:tabs>
                <w:tab w:val="left" w:pos="284"/>
              </w:tabs>
              <w:spacing w:after="0" w:line="240" w:lineRule="auto"/>
              <w:jc w:val="both"/>
              <w:rPr>
                <w:rFonts w:eastAsia="Times New Roman"/>
                <w:lang w:eastAsia="et-EE"/>
              </w:rPr>
            </w:pPr>
            <w:r w:rsidRPr="009716CD">
              <w:rPr>
                <w:rFonts w:eastAsia="Times New Roman"/>
                <w:lang w:eastAsia="et-EE"/>
              </w:rPr>
              <w:t>Pärnu linn (2024-2025)</w:t>
            </w:r>
          </w:p>
        </w:tc>
        <w:tc>
          <w:tcPr>
            <w:tcW w:w="2410" w:type="dxa"/>
            <w:shd w:val="clear" w:color="auto" w:fill="auto"/>
          </w:tcPr>
          <w:p w14:paraId="3B8BC03C" w14:textId="6190736C" w:rsidR="00E11047" w:rsidRPr="009716CD" w:rsidRDefault="00E11047" w:rsidP="00E040E6">
            <w:pPr>
              <w:tabs>
                <w:tab w:val="left" w:pos="284"/>
              </w:tabs>
              <w:spacing w:after="0" w:line="240" w:lineRule="auto"/>
              <w:jc w:val="both"/>
              <w:rPr>
                <w:rFonts w:eastAsia="Times New Roman"/>
                <w:lang w:eastAsia="et-EE"/>
              </w:rPr>
            </w:pPr>
            <w:r w:rsidRPr="009716CD">
              <w:rPr>
                <w:rFonts w:eastAsia="Times New Roman"/>
                <w:lang w:eastAsia="et-EE"/>
              </w:rPr>
              <w:t>33 195</w:t>
            </w:r>
          </w:p>
        </w:tc>
        <w:tc>
          <w:tcPr>
            <w:tcW w:w="1289" w:type="dxa"/>
            <w:shd w:val="clear" w:color="auto" w:fill="auto"/>
          </w:tcPr>
          <w:p w14:paraId="7B5A8700" w14:textId="77777777" w:rsidR="00E11047" w:rsidRPr="009716CD" w:rsidRDefault="00E11047" w:rsidP="00E040E6">
            <w:pPr>
              <w:tabs>
                <w:tab w:val="left" w:pos="284"/>
              </w:tabs>
              <w:spacing w:after="0" w:line="240" w:lineRule="auto"/>
              <w:jc w:val="both"/>
              <w:rPr>
                <w:rFonts w:eastAsia="Times New Roman"/>
                <w:lang w:eastAsia="et-EE"/>
              </w:rPr>
            </w:pPr>
          </w:p>
        </w:tc>
      </w:tr>
      <w:tr w:rsidR="00FF4E27" w:rsidRPr="009716CD" w14:paraId="28700FD4" w14:textId="77777777" w:rsidTr="00C507E9">
        <w:tc>
          <w:tcPr>
            <w:tcW w:w="529" w:type="dxa"/>
            <w:shd w:val="clear" w:color="auto" w:fill="auto"/>
          </w:tcPr>
          <w:p w14:paraId="1276DF0B" w14:textId="77777777" w:rsidR="00FF4E27" w:rsidRPr="009716CD" w:rsidRDefault="00FF4E27" w:rsidP="00E040E6">
            <w:pPr>
              <w:tabs>
                <w:tab w:val="left" w:pos="284"/>
              </w:tabs>
              <w:spacing w:after="0" w:line="240" w:lineRule="auto"/>
              <w:jc w:val="both"/>
              <w:rPr>
                <w:rFonts w:eastAsia="Times New Roman"/>
                <w:lang w:eastAsia="et-EE"/>
              </w:rPr>
            </w:pPr>
          </w:p>
        </w:tc>
        <w:tc>
          <w:tcPr>
            <w:tcW w:w="4999" w:type="dxa"/>
            <w:shd w:val="clear" w:color="auto" w:fill="auto"/>
          </w:tcPr>
          <w:p w14:paraId="755761A4" w14:textId="3E48F1DE" w:rsidR="00FF4E27" w:rsidRPr="009716CD" w:rsidRDefault="00FF4E27" w:rsidP="00E040E6">
            <w:pPr>
              <w:tabs>
                <w:tab w:val="left" w:pos="284"/>
              </w:tabs>
              <w:spacing w:after="0" w:line="240" w:lineRule="auto"/>
              <w:jc w:val="both"/>
              <w:rPr>
                <w:rFonts w:eastAsia="Times New Roman"/>
                <w:lang w:eastAsia="et-EE"/>
              </w:rPr>
            </w:pPr>
            <w:r w:rsidRPr="009716CD">
              <w:rPr>
                <w:rFonts w:eastAsia="Times New Roman"/>
                <w:lang w:eastAsia="et-EE"/>
              </w:rPr>
              <w:t>Jõhvi vald (</w:t>
            </w:r>
            <w:r w:rsidR="00254BE6" w:rsidRPr="009716CD">
              <w:rPr>
                <w:rFonts w:eastAsia="Times New Roman"/>
                <w:lang w:eastAsia="et-EE"/>
              </w:rPr>
              <w:t>202</w:t>
            </w:r>
            <w:r w:rsidR="00D11BB8" w:rsidRPr="009716CD">
              <w:rPr>
                <w:rFonts w:eastAsia="Times New Roman"/>
                <w:lang w:eastAsia="et-EE"/>
              </w:rPr>
              <w:t>5</w:t>
            </w:r>
            <w:r w:rsidR="00254BE6" w:rsidRPr="009716CD">
              <w:rPr>
                <w:rFonts w:eastAsia="Times New Roman"/>
                <w:lang w:eastAsia="et-EE"/>
              </w:rPr>
              <w:t>-2026)</w:t>
            </w:r>
          </w:p>
        </w:tc>
        <w:tc>
          <w:tcPr>
            <w:tcW w:w="2410" w:type="dxa"/>
            <w:shd w:val="clear" w:color="auto" w:fill="auto"/>
          </w:tcPr>
          <w:p w14:paraId="3449B6B5" w14:textId="137E925A" w:rsidR="00FF4E27" w:rsidRPr="009716CD" w:rsidRDefault="00254BE6" w:rsidP="00E040E6">
            <w:pPr>
              <w:tabs>
                <w:tab w:val="left" w:pos="284"/>
              </w:tabs>
              <w:spacing w:after="0" w:line="240" w:lineRule="auto"/>
              <w:jc w:val="both"/>
              <w:rPr>
                <w:rFonts w:eastAsia="Times New Roman"/>
                <w:lang w:eastAsia="et-EE"/>
              </w:rPr>
            </w:pPr>
            <w:r w:rsidRPr="009716CD">
              <w:rPr>
                <w:rFonts w:eastAsia="Times New Roman"/>
                <w:lang w:eastAsia="et-EE"/>
              </w:rPr>
              <w:t>76 020,9</w:t>
            </w:r>
          </w:p>
        </w:tc>
        <w:tc>
          <w:tcPr>
            <w:tcW w:w="1289" w:type="dxa"/>
            <w:shd w:val="clear" w:color="auto" w:fill="auto"/>
          </w:tcPr>
          <w:p w14:paraId="0AF30769" w14:textId="77777777" w:rsidR="00FF4E27" w:rsidRPr="009716CD" w:rsidRDefault="00FF4E27" w:rsidP="00E040E6">
            <w:pPr>
              <w:tabs>
                <w:tab w:val="left" w:pos="284"/>
              </w:tabs>
              <w:spacing w:after="0" w:line="240" w:lineRule="auto"/>
              <w:jc w:val="both"/>
              <w:rPr>
                <w:rFonts w:eastAsia="Times New Roman"/>
                <w:lang w:eastAsia="et-EE"/>
              </w:rPr>
            </w:pPr>
          </w:p>
        </w:tc>
      </w:tr>
      <w:tr w:rsidR="007B44CE" w:rsidRPr="009716CD" w14:paraId="20503EFB" w14:textId="77777777" w:rsidTr="00C507E9">
        <w:tc>
          <w:tcPr>
            <w:tcW w:w="529" w:type="dxa"/>
            <w:shd w:val="clear" w:color="auto" w:fill="auto"/>
          </w:tcPr>
          <w:p w14:paraId="25108AF1" w14:textId="77777777" w:rsidR="007B44CE" w:rsidRPr="009716CD" w:rsidRDefault="007B44CE" w:rsidP="007B44CE">
            <w:pPr>
              <w:tabs>
                <w:tab w:val="left" w:pos="284"/>
              </w:tabs>
              <w:spacing w:after="0" w:line="240" w:lineRule="auto"/>
              <w:jc w:val="both"/>
              <w:rPr>
                <w:rFonts w:eastAsia="Times New Roman"/>
                <w:lang w:eastAsia="et-EE"/>
              </w:rPr>
            </w:pPr>
          </w:p>
        </w:tc>
        <w:tc>
          <w:tcPr>
            <w:tcW w:w="4999" w:type="dxa"/>
            <w:shd w:val="clear" w:color="auto" w:fill="auto"/>
          </w:tcPr>
          <w:p w14:paraId="06AF0F34" w14:textId="6912423F" w:rsidR="007B44CE" w:rsidRPr="009716CD" w:rsidRDefault="007B44CE" w:rsidP="007B44CE">
            <w:pPr>
              <w:tabs>
                <w:tab w:val="left" w:pos="284"/>
              </w:tabs>
              <w:spacing w:after="0" w:line="240" w:lineRule="auto"/>
              <w:jc w:val="both"/>
              <w:rPr>
                <w:rFonts w:eastAsia="Times New Roman"/>
                <w:lang w:eastAsia="et-EE"/>
              </w:rPr>
            </w:pPr>
            <w:r w:rsidRPr="009716CD">
              <w:rPr>
                <w:rFonts w:eastAsia="Times New Roman"/>
                <w:lang w:eastAsia="et-EE"/>
              </w:rPr>
              <w:t>Haapsalu linn (2024-2026)</w:t>
            </w:r>
          </w:p>
        </w:tc>
        <w:tc>
          <w:tcPr>
            <w:tcW w:w="2410" w:type="dxa"/>
            <w:shd w:val="clear" w:color="auto" w:fill="auto"/>
          </w:tcPr>
          <w:p w14:paraId="04E6F498" w14:textId="2CCBC190" w:rsidR="007B44CE" w:rsidRPr="009716CD" w:rsidRDefault="00793711" w:rsidP="007B44CE">
            <w:pPr>
              <w:tabs>
                <w:tab w:val="left" w:pos="284"/>
              </w:tabs>
              <w:spacing w:after="0" w:line="240" w:lineRule="auto"/>
              <w:jc w:val="both"/>
              <w:rPr>
                <w:rFonts w:eastAsia="Times New Roman"/>
                <w:lang w:eastAsia="et-EE"/>
              </w:rPr>
            </w:pPr>
            <w:r w:rsidRPr="009716CD">
              <w:rPr>
                <w:rFonts w:eastAsia="Times New Roman"/>
                <w:lang w:eastAsia="et-EE"/>
              </w:rPr>
              <w:t>91 247,40</w:t>
            </w:r>
          </w:p>
        </w:tc>
        <w:tc>
          <w:tcPr>
            <w:tcW w:w="1289" w:type="dxa"/>
            <w:shd w:val="clear" w:color="auto" w:fill="auto"/>
          </w:tcPr>
          <w:p w14:paraId="2B420F43" w14:textId="77777777" w:rsidR="007B44CE" w:rsidRPr="009716CD" w:rsidRDefault="007B44CE" w:rsidP="007B44CE">
            <w:pPr>
              <w:tabs>
                <w:tab w:val="left" w:pos="284"/>
              </w:tabs>
              <w:spacing w:after="0" w:line="240" w:lineRule="auto"/>
              <w:jc w:val="both"/>
              <w:rPr>
                <w:rFonts w:eastAsia="Times New Roman"/>
                <w:lang w:eastAsia="et-EE"/>
              </w:rPr>
            </w:pPr>
          </w:p>
        </w:tc>
      </w:tr>
      <w:tr w:rsidR="007B44CE" w:rsidRPr="009716CD" w14:paraId="2117F049" w14:textId="77777777" w:rsidTr="00C507E9">
        <w:tc>
          <w:tcPr>
            <w:tcW w:w="529" w:type="dxa"/>
            <w:shd w:val="clear" w:color="auto" w:fill="auto"/>
          </w:tcPr>
          <w:p w14:paraId="37AE2E58" w14:textId="77777777" w:rsidR="007B44CE" w:rsidRPr="009716CD" w:rsidRDefault="007B44CE" w:rsidP="007B44CE">
            <w:pPr>
              <w:tabs>
                <w:tab w:val="left" w:pos="284"/>
              </w:tabs>
              <w:spacing w:after="0" w:line="240" w:lineRule="auto"/>
              <w:jc w:val="both"/>
              <w:rPr>
                <w:rFonts w:eastAsia="Times New Roman"/>
                <w:lang w:eastAsia="et-EE"/>
              </w:rPr>
            </w:pPr>
          </w:p>
        </w:tc>
        <w:tc>
          <w:tcPr>
            <w:tcW w:w="4999" w:type="dxa"/>
            <w:shd w:val="clear" w:color="auto" w:fill="auto"/>
          </w:tcPr>
          <w:p w14:paraId="3034BEE9" w14:textId="76A60840" w:rsidR="007B44CE" w:rsidRPr="009716CD" w:rsidRDefault="007B44CE" w:rsidP="007B44CE">
            <w:pPr>
              <w:tabs>
                <w:tab w:val="left" w:pos="284"/>
              </w:tabs>
              <w:spacing w:after="0" w:line="240" w:lineRule="auto"/>
              <w:jc w:val="both"/>
              <w:rPr>
                <w:rFonts w:eastAsia="Times New Roman"/>
                <w:lang w:eastAsia="et-EE"/>
              </w:rPr>
            </w:pPr>
            <w:r w:rsidRPr="009716CD">
              <w:rPr>
                <w:rFonts w:eastAsia="Times New Roman"/>
                <w:lang w:eastAsia="et-EE"/>
              </w:rPr>
              <w:t>Kohtla-Järve linn (202</w:t>
            </w:r>
            <w:r w:rsidR="003F092C" w:rsidRPr="009716CD">
              <w:rPr>
                <w:rFonts w:eastAsia="Times New Roman"/>
                <w:lang w:eastAsia="et-EE"/>
              </w:rPr>
              <w:t>5</w:t>
            </w:r>
            <w:r w:rsidRPr="009716CD">
              <w:rPr>
                <w:rFonts w:eastAsia="Times New Roman"/>
                <w:lang w:eastAsia="et-EE"/>
              </w:rPr>
              <w:t>-202</w:t>
            </w:r>
            <w:r w:rsidR="003F092C" w:rsidRPr="009716CD">
              <w:rPr>
                <w:rFonts w:eastAsia="Times New Roman"/>
                <w:lang w:eastAsia="et-EE"/>
              </w:rPr>
              <w:t>7</w:t>
            </w:r>
            <w:r w:rsidRPr="009716CD">
              <w:rPr>
                <w:rFonts w:eastAsia="Times New Roman"/>
                <w:lang w:eastAsia="et-EE"/>
              </w:rPr>
              <w:t>)</w:t>
            </w:r>
          </w:p>
        </w:tc>
        <w:tc>
          <w:tcPr>
            <w:tcW w:w="2410" w:type="dxa"/>
            <w:shd w:val="clear" w:color="auto" w:fill="auto"/>
          </w:tcPr>
          <w:p w14:paraId="728CBB6C" w14:textId="7AB7D9C9" w:rsidR="007B44CE" w:rsidRPr="009716CD" w:rsidRDefault="00AC6938" w:rsidP="007B44CE">
            <w:pPr>
              <w:tabs>
                <w:tab w:val="left" w:pos="284"/>
              </w:tabs>
              <w:spacing w:after="0" w:line="240" w:lineRule="auto"/>
              <w:jc w:val="both"/>
              <w:rPr>
                <w:rFonts w:eastAsia="Times New Roman"/>
                <w:lang w:eastAsia="et-EE"/>
              </w:rPr>
            </w:pPr>
            <w:r w:rsidRPr="009716CD">
              <w:rPr>
                <w:rFonts w:eastAsia="Times New Roman"/>
                <w:lang w:eastAsia="et-EE"/>
              </w:rPr>
              <w:t>107 304</w:t>
            </w:r>
          </w:p>
        </w:tc>
        <w:tc>
          <w:tcPr>
            <w:tcW w:w="1289" w:type="dxa"/>
            <w:shd w:val="clear" w:color="auto" w:fill="auto"/>
          </w:tcPr>
          <w:p w14:paraId="1BFF02B7" w14:textId="77777777" w:rsidR="007B44CE" w:rsidRPr="009716CD" w:rsidRDefault="007B44CE" w:rsidP="007B44CE">
            <w:pPr>
              <w:tabs>
                <w:tab w:val="left" w:pos="284"/>
              </w:tabs>
              <w:spacing w:after="0" w:line="240" w:lineRule="auto"/>
              <w:jc w:val="both"/>
              <w:rPr>
                <w:rFonts w:eastAsia="Times New Roman"/>
                <w:lang w:eastAsia="et-EE"/>
              </w:rPr>
            </w:pPr>
          </w:p>
        </w:tc>
      </w:tr>
      <w:tr w:rsidR="007B44CE" w:rsidRPr="009716CD" w14:paraId="63A02DDF" w14:textId="77777777" w:rsidTr="00C507E9">
        <w:tc>
          <w:tcPr>
            <w:tcW w:w="529" w:type="dxa"/>
            <w:shd w:val="clear" w:color="auto" w:fill="auto"/>
          </w:tcPr>
          <w:p w14:paraId="2AA1B675" w14:textId="1509070D" w:rsidR="007B44CE" w:rsidRPr="009716CD" w:rsidRDefault="007B44CE" w:rsidP="007B44CE">
            <w:pPr>
              <w:tabs>
                <w:tab w:val="left" w:pos="284"/>
              </w:tabs>
              <w:spacing w:after="0" w:line="240" w:lineRule="auto"/>
              <w:jc w:val="both"/>
              <w:rPr>
                <w:rFonts w:eastAsia="Times New Roman"/>
                <w:lang w:eastAsia="et-EE"/>
              </w:rPr>
            </w:pPr>
            <w:r w:rsidRPr="009716CD">
              <w:rPr>
                <w:rFonts w:eastAsia="Times New Roman"/>
                <w:lang w:eastAsia="et-EE"/>
              </w:rPr>
              <w:t>1.3</w:t>
            </w:r>
          </w:p>
        </w:tc>
        <w:tc>
          <w:tcPr>
            <w:tcW w:w="4999" w:type="dxa"/>
            <w:shd w:val="clear" w:color="auto" w:fill="auto"/>
          </w:tcPr>
          <w:p w14:paraId="18E16ED0" w14:textId="77777777" w:rsidR="007B44CE" w:rsidRPr="009716CD" w:rsidRDefault="007B44CE" w:rsidP="007B44CE">
            <w:pPr>
              <w:tabs>
                <w:tab w:val="left" w:pos="284"/>
              </w:tabs>
              <w:spacing w:after="0" w:line="240" w:lineRule="auto"/>
              <w:jc w:val="both"/>
              <w:rPr>
                <w:rFonts w:eastAsia="Times New Roman"/>
                <w:lang w:eastAsia="et-EE"/>
              </w:rPr>
            </w:pPr>
            <w:r w:rsidRPr="009716CD">
              <w:rPr>
                <w:rFonts w:eastAsia="Times New Roman"/>
                <w:lang w:eastAsia="et-EE"/>
              </w:rPr>
              <w:t>Omafinantseering</w:t>
            </w:r>
          </w:p>
        </w:tc>
        <w:tc>
          <w:tcPr>
            <w:tcW w:w="2410" w:type="dxa"/>
            <w:shd w:val="clear" w:color="auto" w:fill="auto"/>
          </w:tcPr>
          <w:p w14:paraId="1B64DFE8" w14:textId="77777777" w:rsidR="007B44CE" w:rsidRPr="009716CD" w:rsidRDefault="007B44CE" w:rsidP="007B44CE">
            <w:pPr>
              <w:tabs>
                <w:tab w:val="left" w:pos="284"/>
              </w:tabs>
              <w:spacing w:after="0" w:line="240" w:lineRule="auto"/>
              <w:jc w:val="both"/>
              <w:rPr>
                <w:rFonts w:eastAsia="Times New Roman"/>
                <w:lang w:eastAsia="et-EE"/>
              </w:rPr>
            </w:pPr>
            <w:r w:rsidRPr="009716CD">
              <w:rPr>
                <w:rFonts w:eastAsia="Times New Roman"/>
                <w:lang w:eastAsia="et-EE"/>
              </w:rPr>
              <w:t>0</w:t>
            </w:r>
          </w:p>
        </w:tc>
        <w:tc>
          <w:tcPr>
            <w:tcW w:w="1289" w:type="dxa"/>
            <w:shd w:val="clear" w:color="auto" w:fill="auto"/>
          </w:tcPr>
          <w:p w14:paraId="07EE7F8E" w14:textId="77777777" w:rsidR="007B44CE" w:rsidRPr="009716CD" w:rsidRDefault="007B44CE" w:rsidP="007B44CE">
            <w:pPr>
              <w:tabs>
                <w:tab w:val="left" w:pos="284"/>
              </w:tabs>
              <w:spacing w:after="0" w:line="240" w:lineRule="auto"/>
              <w:jc w:val="both"/>
              <w:rPr>
                <w:rFonts w:eastAsia="Times New Roman"/>
                <w:lang w:eastAsia="et-EE"/>
              </w:rPr>
            </w:pPr>
            <w:r w:rsidRPr="009716CD">
              <w:rPr>
                <w:rFonts w:eastAsia="Times New Roman"/>
                <w:lang w:eastAsia="et-EE"/>
              </w:rPr>
              <w:t>0%</w:t>
            </w:r>
          </w:p>
        </w:tc>
      </w:tr>
      <w:tr w:rsidR="007B44CE" w:rsidRPr="009716CD" w14:paraId="59D4AF13" w14:textId="77777777" w:rsidTr="00C507E9">
        <w:tc>
          <w:tcPr>
            <w:tcW w:w="529" w:type="dxa"/>
            <w:shd w:val="clear" w:color="auto" w:fill="auto"/>
          </w:tcPr>
          <w:p w14:paraId="130CA233" w14:textId="77777777" w:rsidR="007B44CE" w:rsidRPr="009716CD" w:rsidRDefault="007B44CE" w:rsidP="007B44CE">
            <w:pPr>
              <w:tabs>
                <w:tab w:val="left" w:pos="284"/>
              </w:tabs>
              <w:spacing w:after="0" w:line="240" w:lineRule="auto"/>
              <w:jc w:val="both"/>
              <w:rPr>
                <w:rFonts w:eastAsia="Times New Roman"/>
                <w:lang w:eastAsia="et-EE"/>
              </w:rPr>
            </w:pPr>
          </w:p>
        </w:tc>
        <w:tc>
          <w:tcPr>
            <w:tcW w:w="4999" w:type="dxa"/>
            <w:shd w:val="clear" w:color="auto" w:fill="auto"/>
          </w:tcPr>
          <w:p w14:paraId="66B73E5D" w14:textId="77777777" w:rsidR="007B44CE" w:rsidRPr="009716CD" w:rsidRDefault="007B44CE" w:rsidP="007B44CE">
            <w:pPr>
              <w:tabs>
                <w:tab w:val="left" w:pos="284"/>
              </w:tabs>
              <w:spacing w:after="0" w:line="240" w:lineRule="auto"/>
              <w:jc w:val="both"/>
              <w:rPr>
                <w:rFonts w:eastAsia="Times New Roman"/>
                <w:b/>
                <w:bCs/>
                <w:lang w:eastAsia="et-EE"/>
              </w:rPr>
            </w:pPr>
            <w:r w:rsidRPr="009716CD">
              <w:rPr>
                <w:rFonts w:eastAsia="Times New Roman"/>
                <w:b/>
                <w:bCs/>
                <w:lang w:eastAsia="et-EE"/>
              </w:rPr>
              <w:t>KOKKU</w:t>
            </w:r>
          </w:p>
        </w:tc>
        <w:tc>
          <w:tcPr>
            <w:tcW w:w="2410" w:type="dxa"/>
            <w:shd w:val="clear" w:color="auto" w:fill="auto"/>
          </w:tcPr>
          <w:p w14:paraId="1EE06CB3" w14:textId="5DBFA2A2" w:rsidR="007B44CE" w:rsidRPr="009716CD" w:rsidRDefault="007B44CE" w:rsidP="007B44CE">
            <w:pPr>
              <w:tabs>
                <w:tab w:val="left" w:pos="284"/>
              </w:tabs>
              <w:spacing w:after="0" w:line="240" w:lineRule="auto"/>
              <w:jc w:val="both"/>
              <w:rPr>
                <w:rFonts w:eastAsia="Times New Roman"/>
                <w:b/>
                <w:bCs/>
                <w:lang w:eastAsia="et-EE"/>
              </w:rPr>
            </w:pPr>
            <w:r w:rsidRPr="009716CD">
              <w:rPr>
                <w:rFonts w:eastAsia="Times New Roman"/>
                <w:b/>
                <w:bCs/>
                <w:lang w:eastAsia="et-EE"/>
              </w:rPr>
              <w:t>5 859 037</w:t>
            </w:r>
          </w:p>
        </w:tc>
        <w:tc>
          <w:tcPr>
            <w:tcW w:w="1289" w:type="dxa"/>
            <w:shd w:val="clear" w:color="auto" w:fill="auto"/>
          </w:tcPr>
          <w:p w14:paraId="22B6CC9F" w14:textId="77777777" w:rsidR="007B44CE" w:rsidRPr="009716CD" w:rsidRDefault="007B44CE" w:rsidP="007B44CE">
            <w:pPr>
              <w:tabs>
                <w:tab w:val="left" w:pos="284"/>
              </w:tabs>
              <w:spacing w:after="0" w:line="240" w:lineRule="auto"/>
              <w:jc w:val="both"/>
              <w:rPr>
                <w:rFonts w:eastAsia="Times New Roman"/>
                <w:lang w:eastAsia="et-EE"/>
              </w:rPr>
            </w:pPr>
          </w:p>
        </w:tc>
      </w:tr>
      <w:bookmarkEnd w:id="32"/>
      <w:bookmarkEnd w:id="33"/>
    </w:tbl>
    <w:p w14:paraId="5A000ACC" w14:textId="77777777" w:rsidR="00140246" w:rsidRPr="009716CD" w:rsidRDefault="00140246" w:rsidP="001B21DA">
      <w:pPr>
        <w:spacing w:after="0"/>
        <w:ind w:left="357"/>
        <w:jc w:val="both"/>
      </w:pPr>
    </w:p>
    <w:p w14:paraId="5359E473" w14:textId="273C93D5" w:rsidR="001B21DA" w:rsidRPr="009716CD" w:rsidRDefault="008C21AD" w:rsidP="001B21DA">
      <w:pPr>
        <w:spacing w:after="0"/>
        <w:ind w:left="357"/>
        <w:jc w:val="both"/>
      </w:pPr>
      <w:r w:rsidRPr="009716CD">
        <w:t>Toetatava tegevuse koguperioodi detailne eelarve on toodud lisas 5.</w:t>
      </w:r>
    </w:p>
    <w:p w14:paraId="600C57C9" w14:textId="4483C905" w:rsidR="005B0909" w:rsidRPr="009716CD" w:rsidRDefault="005B0909" w:rsidP="00B52F78">
      <w:pPr>
        <w:pStyle w:val="Pealkiri1"/>
      </w:pPr>
      <w:r w:rsidRPr="009716CD">
        <w:t>Kulude abikõlblikkus</w:t>
      </w:r>
    </w:p>
    <w:p w14:paraId="3EFFCCC2" w14:textId="678DFFE7" w:rsidR="009A3F49" w:rsidRPr="009716CD" w:rsidRDefault="00E35A2B" w:rsidP="00173DCD">
      <w:pPr>
        <w:pStyle w:val="Pealkiri2"/>
      </w:pPr>
      <w:r w:rsidRPr="009716CD">
        <w:t xml:space="preserve">Abikõlblike kulude määratlemisel lähtutakse </w:t>
      </w:r>
      <w:r w:rsidR="003C2E03" w:rsidRPr="009716CD">
        <w:t xml:space="preserve">Vabariigi Valitsuse </w:t>
      </w:r>
      <w:r w:rsidR="00B32F84" w:rsidRPr="009716CD">
        <w:t>12. mai</w:t>
      </w:r>
      <w:r w:rsidR="003C2E03" w:rsidRPr="009716CD">
        <w:t xml:space="preserve"> 2022. a määruse nr </w:t>
      </w:r>
      <w:r w:rsidR="00B32F84" w:rsidRPr="009716CD">
        <w:t>55</w:t>
      </w:r>
      <w:r w:rsidR="003C2E03" w:rsidRPr="009716CD">
        <w:t xml:space="preserve"> „Perioodi 2021–2027 </w:t>
      </w:r>
      <w:r w:rsidR="00DE2F73" w:rsidRPr="009716CD">
        <w:t xml:space="preserve">Euroopa Liidu </w:t>
      </w:r>
      <w:r w:rsidR="003C2E03" w:rsidRPr="009716CD">
        <w:t>ühtekuuluvus</w:t>
      </w:r>
      <w:r w:rsidR="00DE2F73" w:rsidRPr="009716CD">
        <w:t xml:space="preserve">- ja </w:t>
      </w:r>
      <w:proofErr w:type="spellStart"/>
      <w:r w:rsidR="00DE2F73" w:rsidRPr="009716CD">
        <w:t>siseturvalisus</w:t>
      </w:r>
      <w:r w:rsidR="003C2E03" w:rsidRPr="009716CD">
        <w:t>poliitika</w:t>
      </w:r>
      <w:proofErr w:type="spellEnd"/>
      <w:r w:rsidR="003C2E03" w:rsidRPr="009716CD">
        <w:t xml:space="preserve"> </w:t>
      </w:r>
      <w:r w:rsidR="00DE2F73" w:rsidRPr="009716CD">
        <w:t xml:space="preserve">fondide </w:t>
      </w:r>
      <w:r w:rsidR="003C2E03" w:rsidRPr="009716CD">
        <w:t>rakenduskava</w:t>
      </w:r>
      <w:r w:rsidR="00DE2F73" w:rsidRPr="009716CD">
        <w:t>de</w:t>
      </w:r>
      <w:r w:rsidR="003C2E03" w:rsidRPr="009716CD">
        <w:t xml:space="preserve"> vahendite andmise ja kasutamise üldised tingimused</w:t>
      </w:r>
      <w:r w:rsidR="00EE030B" w:rsidRPr="009716CD">
        <w:t>“</w:t>
      </w:r>
      <w:r w:rsidR="003C2E03" w:rsidRPr="009716CD">
        <w:t xml:space="preserve"> (edaspidi </w:t>
      </w:r>
      <w:r w:rsidR="003C2E03" w:rsidRPr="009716CD">
        <w:rPr>
          <w:i/>
          <w:iCs/>
        </w:rPr>
        <w:t>ÜM</w:t>
      </w:r>
      <w:r w:rsidR="003C2E03" w:rsidRPr="009716CD">
        <w:t>) §-</w:t>
      </w:r>
      <w:r w:rsidR="000E18DF" w:rsidRPr="009716CD">
        <w:t>st</w:t>
      </w:r>
      <w:r w:rsidR="003C2E03" w:rsidRPr="009716CD">
        <w:t xml:space="preserve"> 15 ja </w:t>
      </w:r>
      <w:proofErr w:type="spellStart"/>
      <w:r w:rsidR="008A76FD" w:rsidRPr="009716CD">
        <w:t>TAT</w:t>
      </w:r>
      <w:r w:rsidR="000E18DF" w:rsidRPr="009716CD">
        <w:t>-</w:t>
      </w:r>
      <w:r w:rsidR="008A76FD" w:rsidRPr="009716CD">
        <w:t>is</w:t>
      </w:r>
      <w:proofErr w:type="spellEnd"/>
      <w:r w:rsidR="003C2E03" w:rsidRPr="009716CD">
        <w:t xml:space="preserve"> sätestatud tingimuste</w:t>
      </w:r>
      <w:r w:rsidR="000E18DF" w:rsidRPr="009716CD">
        <w:t>st.</w:t>
      </w:r>
    </w:p>
    <w:p w14:paraId="6C74CBE0" w14:textId="77777777" w:rsidR="00936755" w:rsidRPr="009716CD" w:rsidRDefault="00936755" w:rsidP="00173DCD">
      <w:pPr>
        <w:pStyle w:val="Pealkiri2"/>
      </w:pPr>
      <w:r w:rsidRPr="009716CD">
        <w:t xml:space="preserve">Abikõlblikud kulud jagunevad otsesteks ja kaudseteks kuludeks. </w:t>
      </w:r>
    </w:p>
    <w:p w14:paraId="505EA15E" w14:textId="41C7FFA2" w:rsidR="00FF18B4" w:rsidRPr="009716CD" w:rsidRDefault="00FB6154" w:rsidP="00FE1AE3">
      <w:pPr>
        <w:pStyle w:val="Pealkiri3"/>
        <w:rPr>
          <w:lang w:val="et-EE"/>
        </w:rPr>
      </w:pPr>
      <w:bookmarkStart w:id="34" w:name="_Hlk102048258"/>
      <w:r w:rsidRPr="009716CD">
        <w:rPr>
          <w:lang w:val="et-EE"/>
        </w:rPr>
        <w:t xml:space="preserve">Kaudsed kulud on </w:t>
      </w:r>
      <w:proofErr w:type="spellStart"/>
      <w:r w:rsidRPr="009716CD">
        <w:rPr>
          <w:lang w:val="et-EE"/>
        </w:rPr>
        <w:t>ÜM-i</w:t>
      </w:r>
      <w:proofErr w:type="spellEnd"/>
      <w:r w:rsidRPr="009716CD">
        <w:rPr>
          <w:lang w:val="et-EE"/>
        </w:rPr>
        <w:t xml:space="preserve"> § 21 lõikes 5 nimetatud üldkulud ja </w:t>
      </w:r>
      <w:proofErr w:type="spellStart"/>
      <w:r w:rsidRPr="009716CD">
        <w:rPr>
          <w:lang w:val="et-EE"/>
        </w:rPr>
        <w:t>ÜM-i</w:t>
      </w:r>
      <w:proofErr w:type="spellEnd"/>
      <w:r w:rsidRPr="009716CD">
        <w:rPr>
          <w:lang w:val="et-EE"/>
        </w:rPr>
        <w:t xml:space="preserve"> § 21 lõikes 6 nimetatud tegevustega seotud § 16 lõikes 1 nimetatud personalikulud. </w:t>
      </w:r>
      <w:r w:rsidR="00FF18B4" w:rsidRPr="009716CD">
        <w:rPr>
          <w:lang w:val="et-EE"/>
        </w:rPr>
        <w:t xml:space="preserve"> </w:t>
      </w:r>
    </w:p>
    <w:p w14:paraId="1D4A5D69" w14:textId="1620BA26" w:rsidR="004C1C9E" w:rsidRPr="009716CD" w:rsidRDefault="00A03323" w:rsidP="00266F3B">
      <w:pPr>
        <w:pStyle w:val="Pealkiri4"/>
        <w:rPr>
          <w:lang w:eastAsia="et-EE"/>
        </w:rPr>
      </w:pPr>
      <w:bookmarkStart w:id="35" w:name="_Hlk102048184"/>
      <w:bookmarkEnd w:id="34"/>
      <w:r w:rsidRPr="009716CD">
        <w:t xml:space="preserve">Kaudseid kulusid hüvitatakse elluviijale ühtse määra alusel, milleks on 7% </w:t>
      </w:r>
      <w:r w:rsidR="002D7A55" w:rsidRPr="009716CD">
        <w:t xml:space="preserve">toetatava tegevuse </w:t>
      </w:r>
      <w:r w:rsidRPr="009716CD">
        <w:t xml:space="preserve">otsestest kuludest. </w:t>
      </w:r>
    </w:p>
    <w:p w14:paraId="686B154B" w14:textId="40D528F5" w:rsidR="005926E1" w:rsidRPr="009716CD" w:rsidRDefault="00A03323" w:rsidP="00FE1AE3">
      <w:pPr>
        <w:pStyle w:val="Pealkiri3"/>
        <w:rPr>
          <w:lang w:val="et-EE" w:eastAsia="et-EE"/>
        </w:rPr>
      </w:pPr>
      <w:r w:rsidRPr="009716CD">
        <w:rPr>
          <w:lang w:val="et-EE"/>
        </w:rPr>
        <w:t>Otseseid kulusid hüvitatakse elluviijale ja partneri</w:t>
      </w:r>
      <w:r w:rsidR="006B7763" w:rsidRPr="009716CD">
        <w:rPr>
          <w:lang w:val="et-EE"/>
        </w:rPr>
        <w:t>te</w:t>
      </w:r>
      <w:r w:rsidRPr="009716CD">
        <w:rPr>
          <w:lang w:val="et-EE"/>
        </w:rPr>
        <w:t>le tegelike kulude alusel.</w:t>
      </w:r>
    </w:p>
    <w:p w14:paraId="31714E71" w14:textId="764BB623" w:rsidR="00D63F05" w:rsidRPr="009716CD" w:rsidRDefault="00A70B85" w:rsidP="00173DCD">
      <w:pPr>
        <w:pStyle w:val="Pealkiri2"/>
      </w:pPr>
      <w:bookmarkStart w:id="36" w:name="_Hlk181715758"/>
      <w:bookmarkEnd w:id="35"/>
      <w:r w:rsidRPr="009716CD">
        <w:t xml:space="preserve">Lisaks </w:t>
      </w:r>
      <w:proofErr w:type="spellStart"/>
      <w:r w:rsidR="00FB6154" w:rsidRPr="009716CD">
        <w:t>ÜM-i</w:t>
      </w:r>
      <w:proofErr w:type="spellEnd"/>
      <w:r w:rsidR="00FB6154" w:rsidRPr="009716CD">
        <w:t xml:space="preserve"> §-s 16 </w:t>
      </w:r>
      <w:r w:rsidRPr="009716CD">
        <w:t>nimetatud abikõlblikele personalikuludele ning punktis 7.2.1 nimetatud kaudsele kulule on abikõlblikud järgmised kulud</w:t>
      </w:r>
      <w:r w:rsidR="00D63F05" w:rsidRPr="009716CD">
        <w:t>:</w:t>
      </w:r>
    </w:p>
    <w:p w14:paraId="7BDF9923" w14:textId="780AD6E0" w:rsidR="00266F3B" w:rsidRPr="009716CD" w:rsidRDefault="00316688" w:rsidP="00FE1AE3">
      <w:pPr>
        <w:pStyle w:val="Pealkiri3"/>
        <w:rPr>
          <w:lang w:val="et-EE"/>
        </w:rPr>
      </w:pPr>
      <w:bookmarkStart w:id="37" w:name="_Hlk181715739"/>
      <w:bookmarkEnd w:id="36"/>
      <w:r w:rsidRPr="009716CD">
        <w:rPr>
          <w:lang w:val="et-EE"/>
        </w:rPr>
        <w:t>t</w:t>
      </w:r>
      <w:r w:rsidR="00266F3B" w:rsidRPr="009716CD">
        <w:rPr>
          <w:lang w:val="et-EE"/>
        </w:rPr>
        <w:t xml:space="preserve">eavitamiskulu, mis on kooskõlas </w:t>
      </w:r>
      <w:bookmarkStart w:id="38" w:name="_Hlk113533704"/>
      <w:r w:rsidR="00266F3B" w:rsidRPr="009716CD">
        <w:rPr>
          <w:lang w:val="et-EE"/>
        </w:rPr>
        <w:t xml:space="preserve">teavitamise määruse §-s 2 </w:t>
      </w:r>
      <w:bookmarkEnd w:id="38"/>
      <w:r w:rsidR="00266F3B" w:rsidRPr="009716CD">
        <w:rPr>
          <w:lang w:val="et-EE"/>
        </w:rPr>
        <w:t>sätestatud kohustuste täitmisega;</w:t>
      </w:r>
    </w:p>
    <w:p w14:paraId="112AC0BC" w14:textId="279C6EE1" w:rsidR="00051A95" w:rsidRPr="009716CD" w:rsidRDefault="00051A95" w:rsidP="00FE1AE3">
      <w:pPr>
        <w:pStyle w:val="Pealkiri3"/>
        <w:rPr>
          <w:lang w:val="et-EE"/>
        </w:rPr>
      </w:pPr>
      <w:r w:rsidRPr="009716CD">
        <w:rPr>
          <w:lang w:val="et-EE"/>
        </w:rPr>
        <w:t>ligipääsetavuse tagamise kulu</w:t>
      </w:r>
      <w:r w:rsidR="00851FB8" w:rsidRPr="009716CD">
        <w:rPr>
          <w:lang w:val="et-EE"/>
        </w:rPr>
        <w:t xml:space="preserve"> </w:t>
      </w:r>
      <w:r w:rsidR="003F0759" w:rsidRPr="009716CD">
        <w:rPr>
          <w:lang w:val="et-EE"/>
        </w:rPr>
        <w:t>koolitustel, töövarjupäevadel, kogemuskohtumistel</w:t>
      </w:r>
      <w:r w:rsidR="00851FB8" w:rsidRPr="009716CD">
        <w:rPr>
          <w:lang w:val="et-EE"/>
        </w:rPr>
        <w:t xml:space="preserve">, kommunikatsioonis, </w:t>
      </w:r>
      <w:r w:rsidR="003F0759" w:rsidRPr="009716CD">
        <w:rPr>
          <w:lang w:val="et-EE"/>
        </w:rPr>
        <w:t>info</w:t>
      </w:r>
      <w:r w:rsidR="00851FB8" w:rsidRPr="009716CD">
        <w:rPr>
          <w:lang w:val="et-EE"/>
        </w:rPr>
        <w:t xml:space="preserve">materjalides, </w:t>
      </w:r>
      <w:r w:rsidR="003F0759" w:rsidRPr="009716CD">
        <w:rPr>
          <w:lang w:val="et-EE"/>
        </w:rPr>
        <w:t>õppevahendites ja -</w:t>
      </w:r>
      <w:r w:rsidR="00851FB8" w:rsidRPr="009716CD">
        <w:rPr>
          <w:lang w:val="et-EE"/>
        </w:rPr>
        <w:t>materjalides</w:t>
      </w:r>
      <w:r w:rsidR="003F0759" w:rsidRPr="009716CD">
        <w:rPr>
          <w:lang w:val="et-EE"/>
        </w:rPr>
        <w:t xml:space="preserve"> ning nõustamises ja teistes vajaduspõhistes tugiteenustes</w:t>
      </w:r>
      <w:r w:rsidRPr="009716CD">
        <w:rPr>
          <w:lang w:val="et-EE"/>
        </w:rPr>
        <w:t>;</w:t>
      </w:r>
    </w:p>
    <w:p w14:paraId="5B9D943D" w14:textId="77777777" w:rsidR="0055361B" w:rsidRPr="009716CD" w:rsidRDefault="0055361B" w:rsidP="00FE1AE3">
      <w:pPr>
        <w:pStyle w:val="Pealkiri3"/>
        <w:rPr>
          <w:lang w:val="et-EE"/>
        </w:rPr>
      </w:pPr>
      <w:r w:rsidRPr="009716CD">
        <w:rPr>
          <w:lang w:val="et-EE"/>
        </w:rPr>
        <w:t>uuringute, küsitluste ja analüüside tellimise ja korraldamise kulu;</w:t>
      </w:r>
    </w:p>
    <w:p w14:paraId="099D12C8" w14:textId="52A44438" w:rsidR="00CB1BFF" w:rsidRPr="009716CD" w:rsidRDefault="002F5FB9" w:rsidP="00FE1AE3">
      <w:pPr>
        <w:pStyle w:val="Pealkiri3"/>
        <w:rPr>
          <w:lang w:val="et-EE"/>
        </w:rPr>
      </w:pPr>
      <w:r w:rsidRPr="009716CD">
        <w:rPr>
          <w:lang w:val="et-EE"/>
        </w:rPr>
        <w:t>tõlkekulu;</w:t>
      </w:r>
    </w:p>
    <w:p w14:paraId="1C447708" w14:textId="62EEB1A2" w:rsidR="00D6083F" w:rsidRPr="009716CD" w:rsidRDefault="00D6083F" w:rsidP="00D6083F">
      <w:pPr>
        <w:pStyle w:val="Pealkiri3"/>
        <w:rPr>
          <w:lang w:val="et-EE"/>
        </w:rPr>
      </w:pPr>
      <w:r w:rsidRPr="009716CD">
        <w:rPr>
          <w:lang w:val="et-EE"/>
        </w:rPr>
        <w:t>kommunikatsiooni kulu</w:t>
      </w:r>
      <w:r w:rsidR="007816DB" w:rsidRPr="009716CD">
        <w:rPr>
          <w:lang w:val="et-EE"/>
        </w:rPr>
        <w:t xml:space="preserve"> sealhulgas infomaterjali koostamise ja trükkimise kulu</w:t>
      </w:r>
      <w:r w:rsidRPr="009716CD">
        <w:rPr>
          <w:lang w:val="et-EE"/>
        </w:rPr>
        <w:t xml:space="preserve">; </w:t>
      </w:r>
    </w:p>
    <w:p w14:paraId="0027D9E7" w14:textId="77777777" w:rsidR="00247B19" w:rsidRPr="009716CD" w:rsidRDefault="00247B19" w:rsidP="00247B19">
      <w:pPr>
        <w:pStyle w:val="Pealkiri3"/>
        <w:rPr>
          <w:lang w:val="et-EE"/>
        </w:rPr>
      </w:pPr>
      <w:r w:rsidRPr="009716CD">
        <w:rPr>
          <w:lang w:val="et-EE"/>
        </w:rPr>
        <w:t xml:space="preserve">teenusdisaini ja konsultatsiooni kulu; </w:t>
      </w:r>
    </w:p>
    <w:p w14:paraId="53C387D8" w14:textId="56CB842D" w:rsidR="00425AA6" w:rsidRPr="009716CD" w:rsidRDefault="00846B75" w:rsidP="00FE1AE3">
      <w:pPr>
        <w:pStyle w:val="Pealkiri3"/>
        <w:rPr>
          <w:lang w:val="et-EE"/>
        </w:rPr>
      </w:pPr>
      <w:r w:rsidRPr="009716CD">
        <w:rPr>
          <w:lang w:val="et-EE"/>
        </w:rPr>
        <w:t>m</w:t>
      </w:r>
      <w:r w:rsidR="00425AA6" w:rsidRPr="009716CD">
        <w:rPr>
          <w:lang w:val="et-EE"/>
        </w:rPr>
        <w:t>ajutuskulu</w:t>
      </w:r>
      <w:r w:rsidR="005F14A4" w:rsidRPr="009716CD">
        <w:rPr>
          <w:lang w:val="et-EE"/>
        </w:rPr>
        <w:t>,</w:t>
      </w:r>
      <w:r w:rsidR="00425AA6" w:rsidRPr="009716CD">
        <w:rPr>
          <w:lang w:val="et-EE"/>
        </w:rPr>
        <w:t xml:space="preserve"> </w:t>
      </w:r>
      <w:r w:rsidR="00153F73" w:rsidRPr="009716CD">
        <w:rPr>
          <w:lang w:val="et-EE"/>
        </w:rPr>
        <w:t>sealhulgas sihtrühma</w:t>
      </w:r>
      <w:r w:rsidR="008309C4" w:rsidRPr="009716CD">
        <w:rPr>
          <w:lang w:val="et-EE"/>
        </w:rPr>
        <w:t>, KOV ametnike ja töötajate ning tegevustesse kaasatud isikute</w:t>
      </w:r>
      <w:r w:rsidR="005F14A4" w:rsidRPr="009716CD">
        <w:rPr>
          <w:lang w:val="et-EE"/>
        </w:rPr>
        <w:t xml:space="preserve"> kulu </w:t>
      </w:r>
      <w:r w:rsidR="00D2676E" w:rsidRPr="009716CD">
        <w:rPr>
          <w:lang w:val="et-EE"/>
        </w:rPr>
        <w:t xml:space="preserve">3.5.1.3.3 </w:t>
      </w:r>
      <w:r w:rsidR="00425AA6" w:rsidRPr="009716CD">
        <w:rPr>
          <w:lang w:val="et-EE"/>
        </w:rPr>
        <w:t>ja 3.5.1.4.2</w:t>
      </w:r>
      <w:r w:rsidR="00733240" w:rsidRPr="009716CD">
        <w:rPr>
          <w:lang w:val="et-EE"/>
        </w:rPr>
        <w:t>, 3.5.2.1.</w:t>
      </w:r>
      <w:r w:rsidR="009F6D53" w:rsidRPr="009716CD">
        <w:rPr>
          <w:lang w:val="et-EE"/>
        </w:rPr>
        <w:t>1</w:t>
      </w:r>
      <w:r w:rsidR="00733240" w:rsidRPr="009716CD">
        <w:rPr>
          <w:lang w:val="et-EE"/>
        </w:rPr>
        <w:t xml:space="preserve"> </w:t>
      </w:r>
      <w:r w:rsidR="00B50A77" w:rsidRPr="009716CD">
        <w:rPr>
          <w:lang w:val="et-EE"/>
        </w:rPr>
        <w:t xml:space="preserve">nimetatud tegevuste puhul, kui tegemist on </w:t>
      </w:r>
      <w:proofErr w:type="spellStart"/>
      <w:r w:rsidR="00B50A77" w:rsidRPr="009716CD">
        <w:rPr>
          <w:lang w:val="et-EE"/>
        </w:rPr>
        <w:t>mitmepäevase</w:t>
      </w:r>
      <w:proofErr w:type="spellEnd"/>
      <w:r w:rsidR="00B50A77" w:rsidRPr="009716CD">
        <w:rPr>
          <w:lang w:val="et-EE"/>
        </w:rPr>
        <w:t xml:space="preserve"> sündmusega;</w:t>
      </w:r>
    </w:p>
    <w:p w14:paraId="3948C5A7" w14:textId="0C4AC729" w:rsidR="001E5AAC" w:rsidRPr="009716CD" w:rsidRDefault="001E5AAC" w:rsidP="00FE1AE3">
      <w:pPr>
        <w:pStyle w:val="Pealkiri3"/>
        <w:rPr>
          <w:lang w:val="et-EE"/>
        </w:rPr>
      </w:pPr>
      <w:r w:rsidRPr="009716CD">
        <w:rPr>
          <w:lang w:val="et-EE"/>
        </w:rPr>
        <w:t xml:space="preserve">infotehnoloogiliste arenduste ja </w:t>
      </w:r>
      <w:bookmarkStart w:id="39" w:name="_Hlk181713700"/>
      <w:r w:rsidRPr="009716CD">
        <w:rPr>
          <w:lang w:val="et-EE"/>
        </w:rPr>
        <w:t xml:space="preserve">hoolduse kulu </w:t>
      </w:r>
      <w:bookmarkEnd w:id="39"/>
      <w:r w:rsidRPr="009716CD">
        <w:rPr>
          <w:lang w:val="et-EE"/>
        </w:rPr>
        <w:t>punktides 3.5.1.2, 3.5.1.3, 3.5.1.4.3</w:t>
      </w:r>
      <w:r w:rsidR="00247B19" w:rsidRPr="009716CD">
        <w:rPr>
          <w:lang w:val="et-EE"/>
        </w:rPr>
        <w:t xml:space="preserve"> ja</w:t>
      </w:r>
      <w:r w:rsidR="002F5FB9" w:rsidRPr="009716CD">
        <w:rPr>
          <w:lang w:val="et-EE"/>
        </w:rPr>
        <w:t xml:space="preserve"> 3.5.2.1</w:t>
      </w:r>
      <w:r w:rsidRPr="009716CD">
        <w:rPr>
          <w:lang w:val="et-EE"/>
        </w:rPr>
        <w:t xml:space="preserve"> nimetatud tegevuste puhul;</w:t>
      </w:r>
    </w:p>
    <w:p w14:paraId="251B0441" w14:textId="574C320F" w:rsidR="00575918" w:rsidRPr="009716CD" w:rsidRDefault="00575918" w:rsidP="00FE1AE3">
      <w:pPr>
        <w:pStyle w:val="Pealkiri3"/>
        <w:rPr>
          <w:lang w:val="et-EE"/>
        </w:rPr>
      </w:pPr>
      <w:r w:rsidRPr="009716CD">
        <w:rPr>
          <w:lang w:val="et-EE"/>
        </w:rPr>
        <w:t>transpordikulu, sealhulgas sihtrühma, KOV ametnike ja töötajate ning tegevustesse kaasatud isikute kulu punktides</w:t>
      </w:r>
      <w:r w:rsidR="00654A49" w:rsidRPr="009716CD">
        <w:rPr>
          <w:lang w:val="et-EE"/>
        </w:rPr>
        <w:t xml:space="preserve"> 3.5.1.3.3</w:t>
      </w:r>
      <w:r w:rsidR="003F0759" w:rsidRPr="009716CD">
        <w:rPr>
          <w:lang w:val="et-EE"/>
        </w:rPr>
        <w:t xml:space="preserve">, 3.5.1.3.4, </w:t>
      </w:r>
      <w:r w:rsidR="00654A49" w:rsidRPr="009716CD">
        <w:rPr>
          <w:lang w:val="et-EE"/>
        </w:rPr>
        <w:t>3.5.1.4.2</w:t>
      </w:r>
      <w:r w:rsidR="003F0759" w:rsidRPr="009716CD">
        <w:rPr>
          <w:lang w:val="et-EE"/>
        </w:rPr>
        <w:t xml:space="preserve"> ja</w:t>
      </w:r>
      <w:r w:rsidR="005F14A4" w:rsidRPr="009716CD">
        <w:rPr>
          <w:lang w:val="et-EE"/>
        </w:rPr>
        <w:t xml:space="preserve"> </w:t>
      </w:r>
      <w:r w:rsidR="00CB1BFF" w:rsidRPr="009716CD">
        <w:rPr>
          <w:lang w:val="et-EE"/>
        </w:rPr>
        <w:t xml:space="preserve">3.5.2.1 </w:t>
      </w:r>
      <w:r w:rsidR="005F14A4" w:rsidRPr="009716CD">
        <w:rPr>
          <w:lang w:val="et-EE"/>
        </w:rPr>
        <w:t>nimetatud tegevuste puhul;</w:t>
      </w:r>
    </w:p>
    <w:p w14:paraId="40846CBD" w14:textId="3586E3E7" w:rsidR="009911F2" w:rsidRPr="009716CD" w:rsidRDefault="009911F2" w:rsidP="00FE1AE3">
      <w:pPr>
        <w:pStyle w:val="Pealkiri3"/>
        <w:rPr>
          <w:lang w:val="et-EE"/>
        </w:rPr>
      </w:pPr>
      <w:r w:rsidRPr="009716CD">
        <w:rPr>
          <w:lang w:val="et-EE"/>
        </w:rPr>
        <w:t>ruumi ren</w:t>
      </w:r>
      <w:r w:rsidR="00943107" w:rsidRPr="009716CD">
        <w:rPr>
          <w:lang w:val="et-EE"/>
        </w:rPr>
        <w:t>di</w:t>
      </w:r>
      <w:r w:rsidR="00D34D40" w:rsidRPr="009716CD">
        <w:rPr>
          <w:lang w:val="et-EE"/>
        </w:rPr>
        <w:t>,</w:t>
      </w:r>
      <w:r w:rsidRPr="009716CD">
        <w:rPr>
          <w:lang w:val="et-EE"/>
        </w:rPr>
        <w:t xml:space="preserve"> </w:t>
      </w:r>
      <w:r w:rsidR="004210D2" w:rsidRPr="009716CD">
        <w:rPr>
          <w:lang w:val="et-EE"/>
        </w:rPr>
        <w:t xml:space="preserve">inventari </w:t>
      </w:r>
      <w:r w:rsidR="00D34D40" w:rsidRPr="009716CD">
        <w:rPr>
          <w:lang w:val="et-EE"/>
        </w:rPr>
        <w:t>ren</w:t>
      </w:r>
      <w:r w:rsidR="00943107" w:rsidRPr="009716CD">
        <w:rPr>
          <w:lang w:val="et-EE"/>
        </w:rPr>
        <w:t>di</w:t>
      </w:r>
      <w:r w:rsidR="00D34D40" w:rsidRPr="009716CD">
        <w:rPr>
          <w:lang w:val="et-EE"/>
        </w:rPr>
        <w:t xml:space="preserve"> </w:t>
      </w:r>
      <w:r w:rsidRPr="009716CD">
        <w:rPr>
          <w:lang w:val="et-EE"/>
        </w:rPr>
        <w:t>ja</w:t>
      </w:r>
      <w:r w:rsidR="000B797E" w:rsidRPr="009716CD">
        <w:rPr>
          <w:lang w:val="et-EE"/>
        </w:rPr>
        <w:t xml:space="preserve"> </w:t>
      </w:r>
      <w:r w:rsidRPr="009716CD">
        <w:rPr>
          <w:lang w:val="et-EE"/>
        </w:rPr>
        <w:t>toitlustuskulu punkt</w:t>
      </w:r>
      <w:r w:rsidR="0045222F" w:rsidRPr="009716CD">
        <w:rPr>
          <w:lang w:val="et-EE"/>
        </w:rPr>
        <w:t>ides</w:t>
      </w:r>
      <w:r w:rsidR="00D72609" w:rsidRPr="009716CD">
        <w:rPr>
          <w:lang w:val="et-EE"/>
        </w:rPr>
        <w:t xml:space="preserve"> </w:t>
      </w:r>
      <w:r w:rsidR="0045222F" w:rsidRPr="009716CD">
        <w:rPr>
          <w:lang w:val="et-EE"/>
        </w:rPr>
        <w:t>3.5.1.3.</w:t>
      </w:r>
      <w:r w:rsidR="00FE1AE3" w:rsidRPr="009716CD">
        <w:rPr>
          <w:lang w:val="et-EE"/>
        </w:rPr>
        <w:t>2</w:t>
      </w:r>
      <w:r w:rsidR="0045222F" w:rsidRPr="009716CD">
        <w:rPr>
          <w:lang w:val="et-EE"/>
        </w:rPr>
        <w:t>,</w:t>
      </w:r>
      <w:r w:rsidR="00CB1BFF" w:rsidRPr="009716CD">
        <w:rPr>
          <w:lang w:val="et-EE"/>
        </w:rPr>
        <w:t xml:space="preserve"> </w:t>
      </w:r>
      <w:r w:rsidR="00FE1AE3" w:rsidRPr="009716CD">
        <w:rPr>
          <w:lang w:val="et-EE"/>
        </w:rPr>
        <w:t xml:space="preserve">3.5.1.2, </w:t>
      </w:r>
      <w:r w:rsidR="0045222F" w:rsidRPr="009716CD">
        <w:rPr>
          <w:lang w:val="et-EE"/>
        </w:rPr>
        <w:t>3.5.1.3.3</w:t>
      </w:r>
      <w:r w:rsidR="00D72609" w:rsidRPr="009716CD">
        <w:rPr>
          <w:lang w:val="et-EE"/>
        </w:rPr>
        <w:t xml:space="preserve">, </w:t>
      </w:r>
      <w:r w:rsidR="0045222F" w:rsidRPr="009716CD">
        <w:rPr>
          <w:lang w:val="et-EE"/>
        </w:rPr>
        <w:lastRenderedPageBreak/>
        <w:t>3.5.1.3.4</w:t>
      </w:r>
      <w:r w:rsidR="00CB1BFF" w:rsidRPr="009716CD">
        <w:rPr>
          <w:lang w:val="et-EE"/>
        </w:rPr>
        <w:t xml:space="preserve">, </w:t>
      </w:r>
      <w:r w:rsidR="00D72609" w:rsidRPr="009716CD">
        <w:rPr>
          <w:lang w:val="et-EE"/>
        </w:rPr>
        <w:t xml:space="preserve"> 3.5.1.4.2</w:t>
      </w:r>
      <w:r w:rsidR="00CB1BFF" w:rsidRPr="009716CD">
        <w:rPr>
          <w:lang w:val="et-EE"/>
        </w:rPr>
        <w:t xml:space="preserve"> ja 3.5.2.1 </w:t>
      </w:r>
      <w:r w:rsidRPr="009716CD">
        <w:rPr>
          <w:lang w:val="et-EE"/>
        </w:rPr>
        <w:t>nimetatud tegevus</w:t>
      </w:r>
      <w:r w:rsidR="000B797E" w:rsidRPr="009716CD">
        <w:rPr>
          <w:lang w:val="et-EE"/>
        </w:rPr>
        <w:t>t</w:t>
      </w:r>
      <w:r w:rsidRPr="009716CD">
        <w:rPr>
          <w:lang w:val="et-EE"/>
        </w:rPr>
        <w:t>e puhul;</w:t>
      </w:r>
    </w:p>
    <w:p w14:paraId="5869AA73" w14:textId="36E0E4BE" w:rsidR="000A15F2" w:rsidRPr="009716CD" w:rsidRDefault="000A15F2" w:rsidP="00FE1AE3">
      <w:pPr>
        <w:pStyle w:val="Pealkiri3"/>
        <w:rPr>
          <w:lang w:val="et-EE"/>
        </w:rPr>
      </w:pPr>
      <w:r w:rsidRPr="009716CD">
        <w:rPr>
          <w:lang w:val="et-EE"/>
        </w:rPr>
        <w:t>esinej</w:t>
      </w:r>
      <w:r w:rsidR="005F14A4" w:rsidRPr="009716CD">
        <w:rPr>
          <w:lang w:val="et-EE"/>
        </w:rPr>
        <w:t>a</w:t>
      </w:r>
      <w:r w:rsidRPr="009716CD">
        <w:rPr>
          <w:lang w:val="et-EE"/>
        </w:rPr>
        <w:t xml:space="preserve"> </w:t>
      </w:r>
      <w:r w:rsidR="005F14A4" w:rsidRPr="009716CD">
        <w:rPr>
          <w:lang w:val="et-EE"/>
        </w:rPr>
        <w:t>tasu</w:t>
      </w:r>
      <w:r w:rsidRPr="009716CD">
        <w:rPr>
          <w:lang w:val="et-EE"/>
        </w:rPr>
        <w:t xml:space="preserve"> punktides 3.5.1.3.3, 3.5.1.4.2</w:t>
      </w:r>
      <w:r w:rsidR="00535DB3" w:rsidRPr="009716CD">
        <w:rPr>
          <w:lang w:val="et-EE"/>
        </w:rPr>
        <w:t xml:space="preserve"> ja</w:t>
      </w:r>
      <w:r w:rsidR="007D7A84" w:rsidRPr="009716CD">
        <w:rPr>
          <w:lang w:val="et-EE"/>
        </w:rPr>
        <w:t xml:space="preserve"> 3.5.2.1</w:t>
      </w:r>
      <w:r w:rsidR="00D116DF" w:rsidRPr="009716CD">
        <w:rPr>
          <w:lang w:val="et-EE"/>
        </w:rPr>
        <w:t xml:space="preserve"> </w:t>
      </w:r>
      <w:r w:rsidR="00214037" w:rsidRPr="009716CD">
        <w:rPr>
          <w:lang w:val="et-EE"/>
        </w:rPr>
        <w:t>nimetatud tegevus</w:t>
      </w:r>
      <w:r w:rsidR="000B797E" w:rsidRPr="009716CD">
        <w:rPr>
          <w:lang w:val="et-EE"/>
        </w:rPr>
        <w:t>t</w:t>
      </w:r>
      <w:r w:rsidR="00214037" w:rsidRPr="009716CD">
        <w:rPr>
          <w:lang w:val="et-EE"/>
        </w:rPr>
        <w:t>e puhul</w:t>
      </w:r>
      <w:r w:rsidR="005F14A4" w:rsidRPr="009716CD">
        <w:rPr>
          <w:lang w:val="et-EE"/>
        </w:rPr>
        <w:t>;</w:t>
      </w:r>
    </w:p>
    <w:p w14:paraId="61777B59" w14:textId="2BCC3FD7" w:rsidR="009911F2" w:rsidRPr="009716CD" w:rsidRDefault="009911F2" w:rsidP="00FE1AE3">
      <w:pPr>
        <w:pStyle w:val="Pealkiri3"/>
        <w:rPr>
          <w:lang w:val="et-EE"/>
        </w:rPr>
      </w:pPr>
      <w:r w:rsidRPr="009716CD">
        <w:rPr>
          <w:lang w:val="et-EE"/>
        </w:rPr>
        <w:t>õppevahendite ja -materjalide kulu punkti</w:t>
      </w:r>
      <w:r w:rsidR="007D7A84" w:rsidRPr="009716CD">
        <w:rPr>
          <w:lang w:val="et-EE"/>
        </w:rPr>
        <w:t>des</w:t>
      </w:r>
      <w:r w:rsidR="007816DB" w:rsidRPr="009716CD">
        <w:rPr>
          <w:lang w:val="et-EE"/>
        </w:rPr>
        <w:t xml:space="preserve"> </w:t>
      </w:r>
      <w:r w:rsidRPr="009716CD">
        <w:rPr>
          <w:lang w:val="et-EE"/>
        </w:rPr>
        <w:t>3.5.</w:t>
      </w:r>
      <w:r w:rsidR="002A010D" w:rsidRPr="009716CD">
        <w:rPr>
          <w:lang w:val="et-EE"/>
        </w:rPr>
        <w:t>2</w:t>
      </w:r>
      <w:r w:rsidRPr="009716CD">
        <w:rPr>
          <w:lang w:val="et-EE"/>
        </w:rPr>
        <w:t>.1.</w:t>
      </w:r>
      <w:r w:rsidR="009F6D53" w:rsidRPr="009716CD">
        <w:rPr>
          <w:lang w:val="et-EE"/>
        </w:rPr>
        <w:t>1</w:t>
      </w:r>
      <w:r w:rsidRPr="009716CD">
        <w:rPr>
          <w:lang w:val="et-EE"/>
        </w:rPr>
        <w:t xml:space="preserve"> nimetatud tegevuse puhul;</w:t>
      </w:r>
    </w:p>
    <w:p w14:paraId="0B35FAF6" w14:textId="7F97EDF9" w:rsidR="00C23E77" w:rsidRPr="009716CD" w:rsidRDefault="00C23E77" w:rsidP="00FE1AE3">
      <w:pPr>
        <w:pStyle w:val="Pealkiri3"/>
        <w:rPr>
          <w:lang w:val="et-EE"/>
        </w:rPr>
      </w:pPr>
      <w:r w:rsidRPr="009716CD">
        <w:rPr>
          <w:lang w:val="et-EE"/>
        </w:rPr>
        <w:t>Euroopa Liidu riikidesse KOV ametnike ja töötajate õppereisi kulu punktis 3.5.1.4.2 nimetatud tegevuse puhul;</w:t>
      </w:r>
    </w:p>
    <w:p w14:paraId="59389E6E" w14:textId="3961CC98" w:rsidR="00CA2404" w:rsidRPr="009716CD" w:rsidRDefault="00CA2404" w:rsidP="00FE1AE3">
      <w:pPr>
        <w:pStyle w:val="Pealkiri3"/>
        <w:rPr>
          <w:lang w:val="et-EE"/>
        </w:rPr>
      </w:pPr>
      <w:r w:rsidRPr="009716CD">
        <w:rPr>
          <w:lang w:val="et-EE"/>
        </w:rPr>
        <w:t>KOV ametnike ja töötajate koolituse, töövarjupäeva ja kogemuskohtumise kulu punktis 3.5.1.4.2 nimetatud tegevuse puhul;</w:t>
      </w:r>
    </w:p>
    <w:p w14:paraId="75EA6D71" w14:textId="648CB6B4" w:rsidR="00FE1AE3" w:rsidRPr="009716CD" w:rsidRDefault="00FE1AE3" w:rsidP="00FE1AE3">
      <w:pPr>
        <w:pStyle w:val="Pealkiri3"/>
        <w:rPr>
          <w:lang w:val="et-EE"/>
        </w:rPr>
      </w:pPr>
      <w:r w:rsidRPr="009716CD">
        <w:rPr>
          <w:lang w:val="et-EE"/>
        </w:rPr>
        <w:t xml:space="preserve">sihtrühmale nõustamise- ja teiste </w:t>
      </w:r>
      <w:r w:rsidR="009F6D53" w:rsidRPr="009716CD">
        <w:rPr>
          <w:lang w:val="et-EE"/>
        </w:rPr>
        <w:t xml:space="preserve">vajaduspõhiste </w:t>
      </w:r>
      <w:r w:rsidRPr="009716CD">
        <w:rPr>
          <w:lang w:val="et-EE"/>
        </w:rPr>
        <w:t>tugiteenuste pakkumise kulu punktis 3.5.2.1</w:t>
      </w:r>
      <w:r w:rsidR="009F6D53" w:rsidRPr="009716CD">
        <w:rPr>
          <w:lang w:val="et-EE"/>
        </w:rPr>
        <w:t>.2</w:t>
      </w:r>
      <w:r w:rsidRPr="009716CD">
        <w:rPr>
          <w:lang w:val="et-EE"/>
        </w:rPr>
        <w:t xml:space="preserve"> nimetatud tegevuse puhul</w:t>
      </w:r>
      <w:r w:rsidR="00247B19" w:rsidRPr="009716CD">
        <w:rPr>
          <w:lang w:val="et-EE"/>
        </w:rPr>
        <w:t>.</w:t>
      </w:r>
    </w:p>
    <w:bookmarkEnd w:id="37"/>
    <w:p w14:paraId="214041BA" w14:textId="0FD0C3B4" w:rsidR="00B27AB0" w:rsidRPr="009716CD" w:rsidRDefault="00B27AB0" w:rsidP="00173DCD">
      <w:pPr>
        <w:pStyle w:val="Pealkiri2"/>
      </w:pPr>
      <w:r w:rsidRPr="009716CD">
        <w:t xml:space="preserve">Lisaks </w:t>
      </w:r>
      <w:proofErr w:type="spellStart"/>
      <w:r w:rsidR="00F965CD" w:rsidRPr="009716CD">
        <w:t>ÜM</w:t>
      </w:r>
      <w:r w:rsidR="00FF2F0A" w:rsidRPr="009716CD">
        <w:t>-i</w:t>
      </w:r>
      <w:proofErr w:type="spellEnd"/>
      <w:r w:rsidRPr="009716CD">
        <w:t xml:space="preserve"> §-s </w:t>
      </w:r>
      <w:r w:rsidR="0077201F" w:rsidRPr="009716CD">
        <w:t>17</w:t>
      </w:r>
      <w:r w:rsidRPr="009716CD">
        <w:t xml:space="preserve"> loetletud abikõlb</w:t>
      </w:r>
      <w:r w:rsidR="00D41EF6" w:rsidRPr="009716CD">
        <w:t>matutele</w:t>
      </w:r>
      <w:r w:rsidRPr="009716CD">
        <w:t xml:space="preserve"> kuludele on </w:t>
      </w:r>
      <w:r w:rsidR="00D41EF6" w:rsidRPr="009716CD">
        <w:t>abikõlbmatud</w:t>
      </w:r>
      <w:r w:rsidRPr="009716CD">
        <w:t xml:space="preserve"> järgmised kulud:</w:t>
      </w:r>
    </w:p>
    <w:p w14:paraId="392635F7" w14:textId="478B1911" w:rsidR="00B27AB0" w:rsidRPr="009716CD" w:rsidRDefault="00B27AB0" w:rsidP="00FE1AE3">
      <w:pPr>
        <w:pStyle w:val="Pealkiri3"/>
        <w:rPr>
          <w:lang w:val="et-EE"/>
        </w:rPr>
      </w:pPr>
      <w:r w:rsidRPr="009716CD">
        <w:rPr>
          <w:lang w:val="et-EE"/>
        </w:rPr>
        <w:t>liiklusvahendi ostmi</w:t>
      </w:r>
      <w:r w:rsidR="00F965CD" w:rsidRPr="009716CD">
        <w:rPr>
          <w:lang w:val="et-EE"/>
        </w:rPr>
        <w:t>se</w:t>
      </w:r>
      <w:r w:rsidRPr="009716CD">
        <w:rPr>
          <w:lang w:val="et-EE"/>
        </w:rPr>
        <w:t xml:space="preserve"> </w:t>
      </w:r>
      <w:r w:rsidR="00F965CD" w:rsidRPr="009716CD">
        <w:rPr>
          <w:lang w:val="et-EE"/>
        </w:rPr>
        <w:t>kulu</w:t>
      </w:r>
      <w:r w:rsidRPr="009716CD">
        <w:rPr>
          <w:lang w:val="et-EE"/>
        </w:rPr>
        <w:t>;</w:t>
      </w:r>
    </w:p>
    <w:p w14:paraId="02F7CFAA" w14:textId="14F5235A" w:rsidR="00B27AB0" w:rsidRPr="009716CD" w:rsidRDefault="00B27AB0" w:rsidP="00FE1AE3">
      <w:pPr>
        <w:pStyle w:val="Pealkiri3"/>
        <w:rPr>
          <w:lang w:val="et-EE"/>
        </w:rPr>
      </w:pPr>
      <w:r w:rsidRPr="009716CD">
        <w:rPr>
          <w:lang w:val="et-EE"/>
        </w:rPr>
        <w:t>esinduskulu ja kingitused;</w:t>
      </w:r>
    </w:p>
    <w:p w14:paraId="58F8D2A6" w14:textId="1B59DFE8" w:rsidR="00B27AB0" w:rsidRPr="009716CD" w:rsidRDefault="00B27AB0" w:rsidP="00FE1AE3">
      <w:pPr>
        <w:pStyle w:val="Pealkiri3"/>
        <w:rPr>
          <w:lang w:val="et-EE"/>
        </w:rPr>
      </w:pPr>
      <w:r w:rsidRPr="009716CD">
        <w:rPr>
          <w:lang w:val="et-EE"/>
        </w:rPr>
        <w:t>täienduskoolituse kulu, kui koolituse korraldamisel ei ole arvestatud täiskasvanute koolituse seaduse § 15 lõike 2 nõuetega koos lõigetes 3 ja 4 toodud erisustega;</w:t>
      </w:r>
    </w:p>
    <w:p w14:paraId="67473AF5" w14:textId="77777777" w:rsidR="005E4D81" w:rsidRPr="009716CD" w:rsidRDefault="00B27AB0" w:rsidP="00FE1AE3">
      <w:pPr>
        <w:pStyle w:val="Pealkiri3"/>
        <w:rPr>
          <w:lang w:val="et-EE"/>
        </w:rPr>
      </w:pPr>
      <w:r w:rsidRPr="009716CD">
        <w:rPr>
          <w:lang w:val="et-EE"/>
        </w:rPr>
        <w:t>päevaraha, majutuskulu ja mootorsõiduki kasutamise kulu osas, mis ületab õigusaktides kehtestatud maksustamisele mittekuuluvat piirmäära</w:t>
      </w:r>
      <w:r w:rsidR="005E4D81" w:rsidRPr="009716CD">
        <w:rPr>
          <w:lang w:val="et-EE"/>
        </w:rPr>
        <w:t>;</w:t>
      </w:r>
    </w:p>
    <w:p w14:paraId="4216CFE4" w14:textId="60287675" w:rsidR="00742678" w:rsidRPr="009716CD" w:rsidRDefault="009A54BB" w:rsidP="00FE1AE3">
      <w:pPr>
        <w:pStyle w:val="Pealkiri3"/>
        <w:rPr>
          <w:lang w:val="et-EE"/>
        </w:rPr>
      </w:pPr>
      <w:r w:rsidRPr="009716CD">
        <w:rPr>
          <w:lang w:val="et-EE"/>
        </w:rPr>
        <w:t>partneritele</w:t>
      </w:r>
      <w:r w:rsidR="00573EFC" w:rsidRPr="009716CD">
        <w:rPr>
          <w:lang w:val="et-EE"/>
        </w:rPr>
        <w:t xml:space="preserve"> </w:t>
      </w:r>
      <w:r w:rsidR="005E4D81" w:rsidRPr="009716CD">
        <w:rPr>
          <w:lang w:val="et-EE"/>
        </w:rPr>
        <w:t>kontorimööbli ning tehniliste vahendite, sealhulgas sülearvutite ja tahvelarvutite soetamise ja rentimise kulu, litsentsitasu</w:t>
      </w:r>
      <w:r w:rsidR="001B01B2" w:rsidRPr="009716CD">
        <w:rPr>
          <w:lang w:val="et-EE"/>
        </w:rPr>
        <w:t>,</w:t>
      </w:r>
      <w:r w:rsidR="005E4D81" w:rsidRPr="009716CD">
        <w:rPr>
          <w:lang w:val="et-EE"/>
        </w:rPr>
        <w:t xml:space="preserve"> sidekulu</w:t>
      </w:r>
      <w:r w:rsidR="001B01B2" w:rsidRPr="009716CD">
        <w:rPr>
          <w:lang w:val="et-EE"/>
        </w:rPr>
        <w:t xml:space="preserve"> ning </w:t>
      </w:r>
      <w:r w:rsidR="008709AC" w:rsidRPr="009716CD">
        <w:rPr>
          <w:lang w:val="et-EE"/>
        </w:rPr>
        <w:t xml:space="preserve">partneri tegevusi koordineeriva töötaja töökohaga seotud rendi </w:t>
      </w:r>
      <w:r w:rsidR="001B01B2" w:rsidRPr="009716CD">
        <w:rPr>
          <w:lang w:val="et-EE"/>
        </w:rPr>
        <w:t>kulu</w:t>
      </w:r>
      <w:r w:rsidR="00A43633" w:rsidRPr="009716CD">
        <w:rPr>
          <w:lang w:val="et-EE"/>
        </w:rPr>
        <w:t>;</w:t>
      </w:r>
    </w:p>
    <w:p w14:paraId="09B0E878" w14:textId="56C36BF2" w:rsidR="007168DA" w:rsidRPr="009716CD" w:rsidRDefault="007168DA" w:rsidP="00FE1AE3">
      <w:pPr>
        <w:pStyle w:val="Pealkiri3"/>
        <w:rPr>
          <w:lang w:val="et-EE"/>
        </w:rPr>
      </w:pPr>
      <w:bookmarkStart w:id="40" w:name="_Hlk93500296"/>
      <w:r w:rsidRPr="009716CD">
        <w:rPr>
          <w:lang w:val="et-EE"/>
        </w:rPr>
        <w:t xml:space="preserve">kõik </w:t>
      </w:r>
      <w:r w:rsidR="007E052F" w:rsidRPr="009716CD">
        <w:rPr>
          <w:lang w:val="et-EE"/>
        </w:rPr>
        <w:t xml:space="preserve">toetatava tegevuse </w:t>
      </w:r>
      <w:r w:rsidRPr="009716CD">
        <w:rPr>
          <w:lang w:val="et-EE"/>
        </w:rPr>
        <w:t>elluviimisega otseselt sidumata kulud.</w:t>
      </w:r>
    </w:p>
    <w:p w14:paraId="7D1AC31F" w14:textId="77777777" w:rsidR="00E20573" w:rsidRPr="009716CD" w:rsidRDefault="00E20573" w:rsidP="00B52F78">
      <w:pPr>
        <w:pStyle w:val="Pealkiri1"/>
      </w:pPr>
      <w:r w:rsidRPr="009716CD">
        <w:t>Toetuse maksmise tingimused ja kord</w:t>
      </w:r>
    </w:p>
    <w:bookmarkEnd w:id="40"/>
    <w:p w14:paraId="14A93624" w14:textId="544A4C7C" w:rsidR="003044DD" w:rsidRPr="009716CD" w:rsidRDefault="004955D5" w:rsidP="00173DCD">
      <w:pPr>
        <w:pStyle w:val="Pealkiri2"/>
      </w:pPr>
      <w:r w:rsidRPr="009716CD">
        <w:t xml:space="preserve">Toetuse maksmine toimub tegelike kulude alusel </w:t>
      </w:r>
      <w:proofErr w:type="spellStart"/>
      <w:r w:rsidRPr="009716CD">
        <w:t>ÜM-i</w:t>
      </w:r>
      <w:proofErr w:type="spellEnd"/>
      <w:r w:rsidRPr="009716CD">
        <w:t xml:space="preserve"> § 27 lõike 1 punkti 1 kohaselt. Ühtse määra alusel lihtsustatud kulude maksmine toimub </w:t>
      </w:r>
      <w:proofErr w:type="spellStart"/>
      <w:r w:rsidRPr="009716CD">
        <w:t>ÜM-i</w:t>
      </w:r>
      <w:proofErr w:type="spellEnd"/>
      <w:r w:rsidRPr="009716CD">
        <w:t xml:space="preserve"> § 28 lõike 3 kohaselt. Toetuse maksmise üldtingimused on sätestatud </w:t>
      </w:r>
      <w:proofErr w:type="spellStart"/>
      <w:r w:rsidRPr="009716CD">
        <w:t>ÜM-i</w:t>
      </w:r>
      <w:proofErr w:type="spellEnd"/>
      <w:r w:rsidRPr="009716CD">
        <w:t xml:space="preserve"> §-s 26</w:t>
      </w:r>
      <w:r w:rsidR="0035215F" w:rsidRPr="009716CD">
        <w:t>.</w:t>
      </w:r>
    </w:p>
    <w:p w14:paraId="5DF29F5D" w14:textId="3DFB4035" w:rsidR="00F23950" w:rsidRPr="009716CD" w:rsidRDefault="0053379F" w:rsidP="00173DCD">
      <w:pPr>
        <w:pStyle w:val="Pealkiri2"/>
      </w:pPr>
      <w:r w:rsidRPr="009716CD">
        <w:t xml:space="preserve">Maksetaotluse esitamise, menetlemise ja toetuse maksmise tingimused </w:t>
      </w:r>
      <w:r w:rsidR="00F23950" w:rsidRPr="009716CD">
        <w:t xml:space="preserve">on sätestatud </w:t>
      </w:r>
      <w:proofErr w:type="spellStart"/>
      <w:r w:rsidR="00F23950" w:rsidRPr="009716CD">
        <w:t>ÜM</w:t>
      </w:r>
      <w:r w:rsidR="00FF2F0A" w:rsidRPr="009716CD">
        <w:noBreakHyphen/>
      </w:r>
      <w:r w:rsidR="004955D5" w:rsidRPr="009716CD">
        <w:t>i</w:t>
      </w:r>
      <w:proofErr w:type="spellEnd"/>
      <w:r w:rsidR="00F23950" w:rsidRPr="009716CD">
        <w:t xml:space="preserve"> §-des 24,  25 ja 33.</w:t>
      </w:r>
    </w:p>
    <w:p w14:paraId="2577EB05" w14:textId="444641EC" w:rsidR="00A33AAE" w:rsidRPr="009716CD" w:rsidRDefault="004955D5" w:rsidP="00173DCD">
      <w:pPr>
        <w:pStyle w:val="Pealkiri2"/>
      </w:pPr>
      <w:r w:rsidRPr="009716CD">
        <w:t xml:space="preserve">Elluviijal on õigus taotleda ja rakendusüksusel on õigus teha ettemakseid </w:t>
      </w:r>
      <w:proofErr w:type="spellStart"/>
      <w:r w:rsidRPr="009716CD">
        <w:t>ÜSS-i</w:t>
      </w:r>
      <w:proofErr w:type="spellEnd"/>
      <w:r w:rsidRPr="009716CD">
        <w:t xml:space="preserve"> § 14 ja </w:t>
      </w:r>
      <w:proofErr w:type="spellStart"/>
      <w:r w:rsidRPr="009716CD">
        <w:t>ÜM-i</w:t>
      </w:r>
      <w:proofErr w:type="spellEnd"/>
      <w:r w:rsidRPr="009716CD">
        <w:t xml:space="preserve"> § 30 kohaselt.</w:t>
      </w:r>
    </w:p>
    <w:p w14:paraId="565BC4EA" w14:textId="5B05BE9B" w:rsidR="0029485B" w:rsidRPr="009716CD" w:rsidRDefault="0029485B" w:rsidP="00FE1AE3">
      <w:pPr>
        <w:pStyle w:val="Pealkiri3"/>
        <w:rPr>
          <w:lang w:val="et-EE"/>
        </w:rPr>
      </w:pPr>
      <w:bookmarkStart w:id="41" w:name="_Hlk133922217"/>
      <w:r w:rsidRPr="009716CD">
        <w:rPr>
          <w:lang w:val="et-EE"/>
        </w:rPr>
        <w:t>Ettemakse kasutamise periood on kuni 90 kalendripäeva ettemakse laekumisest.</w:t>
      </w:r>
    </w:p>
    <w:bookmarkEnd w:id="41"/>
    <w:p w14:paraId="53B7542A" w14:textId="2C31728E" w:rsidR="00553A3E" w:rsidRPr="009716CD" w:rsidRDefault="004955D5" w:rsidP="00173DCD">
      <w:pPr>
        <w:pStyle w:val="Pealkiri2"/>
      </w:pPr>
      <w:r w:rsidRPr="009716CD">
        <w:t>Toetus makstakse elluviijale e-toetuse keskkonna kaudu rakendusüksusele esitatud maksetaotluse alusel</w:t>
      </w:r>
      <w:r w:rsidR="00553A3E" w:rsidRPr="009716CD">
        <w:t>.</w:t>
      </w:r>
    </w:p>
    <w:p w14:paraId="1FE958B1" w14:textId="622F8E67" w:rsidR="001D659B" w:rsidRPr="009716CD" w:rsidRDefault="004955D5" w:rsidP="00173DCD">
      <w:pPr>
        <w:pStyle w:val="Pealkiri2"/>
      </w:pPr>
      <w:r w:rsidRPr="009716CD">
        <w:t>Maksetaotluseid võib elluviija esitada punktis 9.3.</w:t>
      </w:r>
      <w:r w:rsidR="00702F11" w:rsidRPr="009716CD">
        <w:t>3</w:t>
      </w:r>
      <w:r w:rsidRPr="009716CD">
        <w:t xml:space="preserve"> nimetatud maksete prognoosi alusel mitte harvem kui kord kvartalis ja mitte tihedamini kui kord kuus</w:t>
      </w:r>
      <w:r w:rsidR="00266B0B" w:rsidRPr="009716CD">
        <w:t>.</w:t>
      </w:r>
    </w:p>
    <w:p w14:paraId="6593C2F7" w14:textId="77777777" w:rsidR="00221B4F" w:rsidRPr="009716CD" w:rsidRDefault="00221B4F" w:rsidP="00173DCD">
      <w:pPr>
        <w:pStyle w:val="Pealkiri2"/>
      </w:pPr>
      <w:r w:rsidRPr="009716CD">
        <w:t>Enne esimese maksetaotluse esitamist või koos sellega peab elluviija esitama rakendusüksusele:</w:t>
      </w:r>
    </w:p>
    <w:p w14:paraId="1859CA2D" w14:textId="49181B7D" w:rsidR="00661021" w:rsidRPr="009716CD" w:rsidRDefault="0081284D" w:rsidP="00FE1AE3">
      <w:pPr>
        <w:pStyle w:val="Pealkiri3"/>
        <w:rPr>
          <w:lang w:val="et-EE"/>
        </w:rPr>
      </w:pPr>
      <w:r w:rsidRPr="009716CD">
        <w:rPr>
          <w:lang w:val="et-EE"/>
        </w:rPr>
        <w:t>väljavõtte raamatupidamistoimingutest, mille järgi on võimalik veenduda, et otsesed kulud (nii abikõlblikud kui ka abikõlbmatud) on selgelt eristatavad elluviija teistest kuludest</w:t>
      </w:r>
      <w:r w:rsidR="00661021" w:rsidRPr="009716CD">
        <w:rPr>
          <w:lang w:val="et-EE"/>
        </w:rPr>
        <w:t>;</w:t>
      </w:r>
    </w:p>
    <w:p w14:paraId="23208A3F" w14:textId="6ADB1368" w:rsidR="00062559" w:rsidRPr="009716CD" w:rsidRDefault="00062559" w:rsidP="00FE1AE3">
      <w:pPr>
        <w:pStyle w:val="Pealkiri3"/>
        <w:rPr>
          <w:lang w:val="et-EE"/>
        </w:rPr>
      </w:pPr>
      <w:r w:rsidRPr="009716CD">
        <w:rPr>
          <w:lang w:val="et-EE"/>
        </w:rPr>
        <w:t xml:space="preserve">koopia </w:t>
      </w:r>
      <w:r w:rsidR="008662A2" w:rsidRPr="009716CD">
        <w:rPr>
          <w:lang w:val="et-EE"/>
        </w:rPr>
        <w:t xml:space="preserve">elluviija </w:t>
      </w:r>
      <w:r w:rsidR="004C4BFF" w:rsidRPr="009716CD">
        <w:rPr>
          <w:lang w:val="et-EE"/>
        </w:rPr>
        <w:t xml:space="preserve">hankemenetluse korrast </w:t>
      </w:r>
      <w:r w:rsidR="003D4C29" w:rsidRPr="009716CD">
        <w:rPr>
          <w:lang w:val="et-EE"/>
        </w:rPr>
        <w:t>või viide veebilehele, kus kord on avalikult kättesaadav</w:t>
      </w:r>
      <w:r w:rsidRPr="009716CD">
        <w:rPr>
          <w:lang w:val="et-EE"/>
        </w:rPr>
        <w:t>;</w:t>
      </w:r>
    </w:p>
    <w:p w14:paraId="0AA6446F" w14:textId="2A8F05D0" w:rsidR="00062559" w:rsidRPr="009716CD" w:rsidRDefault="00004B78" w:rsidP="00FE1AE3">
      <w:pPr>
        <w:pStyle w:val="Pealkiri3"/>
        <w:rPr>
          <w:lang w:val="et-EE"/>
        </w:rPr>
      </w:pPr>
      <w:r w:rsidRPr="009716CD">
        <w:rPr>
          <w:lang w:val="et-EE"/>
        </w:rPr>
        <w:t>allkirjaõigusliku isiku edasivolitatud õiguste korral volituste koopiad.</w:t>
      </w:r>
    </w:p>
    <w:p w14:paraId="47370D4C" w14:textId="3CE7DF92" w:rsidR="005E11C9" w:rsidRPr="009716CD" w:rsidRDefault="004F54BD" w:rsidP="00173DCD">
      <w:pPr>
        <w:pStyle w:val="Pealkiri2"/>
      </w:pPr>
      <w:r w:rsidRPr="009716CD">
        <w:t xml:space="preserve">Esimesele tegelike kulude alusel esitatud </w:t>
      </w:r>
      <w:r w:rsidR="00EE4CF7" w:rsidRPr="009716CD">
        <w:t>maksetaotlusele</w:t>
      </w:r>
      <w:r w:rsidRPr="009716CD">
        <w:t xml:space="preserve"> lisatakse tasumist tõendavate dokumentide koopiad</w:t>
      </w:r>
      <w:r w:rsidR="00A03622" w:rsidRPr="009716CD">
        <w:t>.</w:t>
      </w:r>
      <w:r w:rsidR="001B18F8" w:rsidRPr="009716CD">
        <w:t xml:space="preserve"> </w:t>
      </w:r>
      <w:r w:rsidR="004A1FE9" w:rsidRPr="009716CD">
        <w:t xml:space="preserve">Edaspidi tuleb </w:t>
      </w:r>
      <w:r w:rsidR="005E11C9" w:rsidRPr="009716CD">
        <w:t>abikõlblike kulude tekkimist ja nende tasumist tõendavate dokumentide koopiad esita</w:t>
      </w:r>
      <w:r w:rsidR="001D659B" w:rsidRPr="009716CD">
        <w:t>da</w:t>
      </w:r>
      <w:r w:rsidR="005E11C9" w:rsidRPr="009716CD">
        <w:t xml:space="preserve"> </w:t>
      </w:r>
      <w:r w:rsidR="003409F1" w:rsidRPr="009716CD">
        <w:t>rakendusüksuse</w:t>
      </w:r>
      <w:r w:rsidR="005E11C9" w:rsidRPr="009716CD">
        <w:t xml:space="preserve"> </w:t>
      </w:r>
      <w:r w:rsidR="001D659B" w:rsidRPr="009716CD">
        <w:t>nõu</w:t>
      </w:r>
      <w:r w:rsidR="00F366A1" w:rsidRPr="009716CD">
        <w:t>dmisel</w:t>
      </w:r>
      <w:r w:rsidR="001D659B" w:rsidRPr="009716CD">
        <w:t>.</w:t>
      </w:r>
    </w:p>
    <w:p w14:paraId="62EE381E" w14:textId="6B8B480C" w:rsidR="003B76F5" w:rsidRPr="009716CD" w:rsidRDefault="00EF78CF" w:rsidP="00173DCD">
      <w:pPr>
        <w:pStyle w:val="Pealkiri2"/>
      </w:pPr>
      <w:bookmarkStart w:id="42" w:name="_Hlk102136034"/>
      <w:proofErr w:type="spellStart"/>
      <w:r w:rsidRPr="009716CD">
        <w:t>TAT-i</w:t>
      </w:r>
      <w:proofErr w:type="spellEnd"/>
      <w:r w:rsidRPr="009716CD">
        <w:t xml:space="preserve"> punktis 7.2.1</w:t>
      </w:r>
      <w:r w:rsidR="0067784D" w:rsidRPr="009716CD">
        <w:t>.1</w:t>
      </w:r>
      <w:r w:rsidRPr="009716CD">
        <w:t xml:space="preserve"> nimetatud ühtse määra alusel tehakse makse tegelike otseste kulude kohaselt</w:t>
      </w:r>
      <w:r w:rsidR="00E92B28" w:rsidRPr="009716CD">
        <w:t xml:space="preserve">. </w:t>
      </w:r>
    </w:p>
    <w:p w14:paraId="5B250707" w14:textId="26AD56F8" w:rsidR="00E92B28" w:rsidRPr="009716CD" w:rsidRDefault="00E92B28" w:rsidP="00FE1AE3">
      <w:pPr>
        <w:pStyle w:val="Pealkiri3"/>
        <w:rPr>
          <w:lang w:val="et-EE"/>
        </w:rPr>
      </w:pPr>
      <w:r w:rsidRPr="009716CD">
        <w:rPr>
          <w:lang w:val="et-EE"/>
        </w:rPr>
        <w:t xml:space="preserve">Ühtse määra alusel </w:t>
      </w:r>
      <w:r w:rsidR="00C36759" w:rsidRPr="009716CD">
        <w:rPr>
          <w:lang w:val="et-EE"/>
        </w:rPr>
        <w:t>makse tegemisel</w:t>
      </w:r>
      <w:r w:rsidRPr="009716CD">
        <w:rPr>
          <w:lang w:val="et-EE"/>
        </w:rPr>
        <w:t xml:space="preserve"> kulu tegelikku maksumust ei tõendata ega kontrollita. </w:t>
      </w:r>
    </w:p>
    <w:p w14:paraId="24925EBD" w14:textId="5AE1322B" w:rsidR="00287C2E" w:rsidRPr="009716CD" w:rsidRDefault="00287C2E" w:rsidP="00173DCD">
      <w:pPr>
        <w:pStyle w:val="Pealkiri2"/>
      </w:pPr>
      <w:bookmarkStart w:id="43" w:name="_Hlk103332835"/>
      <w:r w:rsidRPr="009716CD">
        <w:t xml:space="preserve">Elluviija esitab läbiviidud </w:t>
      </w:r>
      <w:r w:rsidR="00111A00" w:rsidRPr="009716CD">
        <w:t xml:space="preserve">riigihangete korraldamisega seotud dokumendid </w:t>
      </w:r>
      <w:r w:rsidRPr="009716CD">
        <w:lastRenderedPageBreak/>
        <w:t>rakendusüksusele kontrolli</w:t>
      </w:r>
      <w:r w:rsidR="00A44BE4" w:rsidRPr="009716CD">
        <w:t xml:space="preserve">ks </w:t>
      </w:r>
      <w:r w:rsidRPr="009716CD">
        <w:t xml:space="preserve">hiljemalt koos </w:t>
      </w:r>
      <w:r w:rsidR="004D6F5E" w:rsidRPr="009716CD">
        <w:t>maksetaotlusega</w:t>
      </w:r>
      <w:r w:rsidRPr="009716CD">
        <w:t>.</w:t>
      </w:r>
    </w:p>
    <w:bookmarkEnd w:id="42"/>
    <w:bookmarkEnd w:id="43"/>
    <w:p w14:paraId="6040CAE2" w14:textId="0FD89C70" w:rsidR="002939B3" w:rsidRPr="009716CD" w:rsidRDefault="002939B3" w:rsidP="00173DCD">
      <w:pPr>
        <w:pStyle w:val="Pealkiri2"/>
      </w:pPr>
      <w:r w:rsidRPr="009716CD">
        <w:t>Viima</w:t>
      </w:r>
      <w:r w:rsidR="00AD41E1" w:rsidRPr="009716CD">
        <w:t xml:space="preserve">ne maksetaotlus </w:t>
      </w:r>
      <w:r w:rsidRPr="009716CD">
        <w:t>esitatakse hiljemalt koos toetatava tegevus</w:t>
      </w:r>
      <w:r w:rsidR="001D659B" w:rsidRPr="009716CD">
        <w:t>e</w:t>
      </w:r>
      <w:r w:rsidRPr="009716CD">
        <w:t xml:space="preserve"> elluviimise lõpparuandega. Viimane makse tehakse tasutud kuludokumentide alusel pärast seda, kui </w:t>
      </w:r>
      <w:r w:rsidR="003409F1" w:rsidRPr="009716CD">
        <w:t>rakendusasutus</w:t>
      </w:r>
      <w:r w:rsidRPr="009716CD">
        <w:t xml:space="preserve"> on lõpparuande kinnitanud</w:t>
      </w:r>
      <w:r w:rsidR="00393B17" w:rsidRPr="009716CD">
        <w:t>.</w:t>
      </w:r>
    </w:p>
    <w:p w14:paraId="37B8A177" w14:textId="77777777" w:rsidR="00A1229A" w:rsidRPr="009716CD" w:rsidRDefault="00A1229A" w:rsidP="00B52F78">
      <w:pPr>
        <w:pStyle w:val="Pealkiri1"/>
      </w:pPr>
      <w:bookmarkStart w:id="44" w:name="_Hlk93500361"/>
      <w:r w:rsidRPr="009716CD">
        <w:t>Elluviija kohustused</w:t>
      </w:r>
    </w:p>
    <w:bookmarkEnd w:id="44"/>
    <w:p w14:paraId="4F816752" w14:textId="65FBB8DF" w:rsidR="002C3B68" w:rsidRPr="009716CD" w:rsidRDefault="002C3B68" w:rsidP="00173DCD">
      <w:pPr>
        <w:pStyle w:val="Pealkiri2"/>
      </w:pPr>
      <w:r w:rsidRPr="009716CD">
        <w:t xml:space="preserve">Elluviijale kohalduvad kõik </w:t>
      </w:r>
      <w:proofErr w:type="spellStart"/>
      <w:r w:rsidRPr="009716CD">
        <w:t>ÜSS</w:t>
      </w:r>
      <w:r w:rsidR="002F547F" w:rsidRPr="009716CD">
        <w:t>-</w:t>
      </w:r>
      <w:r w:rsidRPr="009716CD">
        <w:t>is</w:t>
      </w:r>
      <w:proofErr w:type="spellEnd"/>
      <w:r w:rsidRPr="009716CD">
        <w:t xml:space="preserve"> ja selle alusel kehtestatud õigusaktides toetuse saajale sätestatud kohustused.</w:t>
      </w:r>
    </w:p>
    <w:p w14:paraId="7CA3A0C6" w14:textId="7EBD9C7F" w:rsidR="002C3B68" w:rsidRPr="009716CD" w:rsidRDefault="002C3B68" w:rsidP="00173DCD">
      <w:pPr>
        <w:pStyle w:val="Pealkiri2"/>
      </w:pPr>
      <w:r w:rsidRPr="009716CD">
        <w:t xml:space="preserve">Elluviija peab kasutama toetust sihtotstarbeliselt abikõlblike kulude katteks, mis on vajalikud </w:t>
      </w:r>
      <w:proofErr w:type="spellStart"/>
      <w:r w:rsidR="00FC78CE" w:rsidRPr="009716CD">
        <w:t>TAT-is</w:t>
      </w:r>
      <w:proofErr w:type="spellEnd"/>
      <w:r w:rsidRPr="009716CD">
        <w:t xml:space="preserve"> kirjeldatud eesmärgi ja tulemuse saavutamiseks, ning viima toetatav</w:t>
      </w:r>
      <w:r w:rsidR="00CD2FC0" w:rsidRPr="009716CD">
        <w:t>a</w:t>
      </w:r>
      <w:r w:rsidRPr="009716CD">
        <w:t xml:space="preserve"> tegevus</w:t>
      </w:r>
      <w:r w:rsidR="00CD2FC0" w:rsidRPr="009716CD">
        <w:t>e</w:t>
      </w:r>
      <w:r w:rsidRPr="009716CD">
        <w:t xml:space="preserve"> ellu </w:t>
      </w:r>
      <w:r w:rsidR="004F0424" w:rsidRPr="009716CD">
        <w:t xml:space="preserve">punktis 9.3.1 nimetatud rakendusasutuse </w:t>
      </w:r>
      <w:r w:rsidRPr="009716CD">
        <w:t>kinnitatud eelarve ja tegevuskava</w:t>
      </w:r>
      <w:r w:rsidR="002F547F" w:rsidRPr="009716CD">
        <w:t xml:space="preserve"> kohaselt</w:t>
      </w:r>
      <w:r w:rsidRPr="009716CD">
        <w:t>.</w:t>
      </w:r>
    </w:p>
    <w:p w14:paraId="46706B68" w14:textId="69FCDA9B" w:rsidR="002C3B68" w:rsidRPr="009716CD" w:rsidRDefault="003F06C0" w:rsidP="00173DCD">
      <w:pPr>
        <w:pStyle w:val="Pealkiri2"/>
      </w:pPr>
      <w:r w:rsidRPr="009716CD">
        <w:t xml:space="preserve">Lisaks </w:t>
      </w:r>
      <w:proofErr w:type="spellStart"/>
      <w:r w:rsidRPr="009716CD">
        <w:t>ÜM</w:t>
      </w:r>
      <w:r w:rsidR="009E2578" w:rsidRPr="009716CD">
        <w:t>-i</w:t>
      </w:r>
      <w:proofErr w:type="spellEnd"/>
      <w:r w:rsidRPr="009716CD">
        <w:t xml:space="preserve"> §</w:t>
      </w:r>
      <w:r w:rsidR="00014A59" w:rsidRPr="009716CD">
        <w:t xml:space="preserve"> </w:t>
      </w:r>
      <w:r w:rsidRPr="009716CD">
        <w:t xml:space="preserve">10 lõikes 1 ja §-s 11 toodule on elluviija </w:t>
      </w:r>
      <w:r w:rsidR="006F5451" w:rsidRPr="009716CD">
        <w:t>kohustatud</w:t>
      </w:r>
      <w:r w:rsidR="00F94FC4" w:rsidRPr="009716CD">
        <w:t>:</w:t>
      </w:r>
    </w:p>
    <w:p w14:paraId="72767309" w14:textId="3513AAC8" w:rsidR="00F94FC4" w:rsidRPr="009716CD" w:rsidRDefault="003F06C0" w:rsidP="00FE1AE3">
      <w:pPr>
        <w:pStyle w:val="Pealkiri3"/>
        <w:rPr>
          <w:lang w:val="et-EE"/>
        </w:rPr>
      </w:pPr>
      <w:r w:rsidRPr="009716CD">
        <w:rPr>
          <w:lang w:val="et-EE"/>
        </w:rPr>
        <w:t>e</w:t>
      </w:r>
      <w:r w:rsidR="00354EDB" w:rsidRPr="009716CD">
        <w:rPr>
          <w:lang w:val="et-EE"/>
        </w:rPr>
        <w:t xml:space="preserve">sitama </w:t>
      </w:r>
      <w:r w:rsidR="009E2578" w:rsidRPr="009716CD">
        <w:rPr>
          <w:lang w:val="et-EE"/>
        </w:rPr>
        <w:t>käimasoleva</w:t>
      </w:r>
      <w:r w:rsidR="00354EDB" w:rsidRPr="009716CD">
        <w:rPr>
          <w:lang w:val="et-EE"/>
        </w:rPr>
        <w:t xml:space="preserve"> aasta 1. novembriks </w:t>
      </w:r>
      <w:r w:rsidR="00E1517F" w:rsidRPr="009716CD">
        <w:rPr>
          <w:lang w:val="et-EE"/>
        </w:rPr>
        <w:t>rakendusasutusele</w:t>
      </w:r>
      <w:r w:rsidR="00354EDB" w:rsidRPr="009716CD">
        <w:rPr>
          <w:lang w:val="et-EE"/>
        </w:rPr>
        <w:t xml:space="preserve"> kinnitamiseks järgneva aasta tegevuskava (lisa</w:t>
      </w:r>
      <w:r w:rsidR="00B91910" w:rsidRPr="009716CD">
        <w:rPr>
          <w:lang w:val="et-EE"/>
        </w:rPr>
        <w:t xml:space="preserve"> 1</w:t>
      </w:r>
      <w:r w:rsidR="00354EDB" w:rsidRPr="009716CD">
        <w:rPr>
          <w:lang w:val="et-EE"/>
        </w:rPr>
        <w:t xml:space="preserve">) ja eelarve (lisa </w:t>
      </w:r>
      <w:r w:rsidR="00B91910" w:rsidRPr="009716CD">
        <w:rPr>
          <w:lang w:val="et-EE"/>
        </w:rPr>
        <w:t>2</w:t>
      </w:r>
      <w:r w:rsidR="00354EDB" w:rsidRPr="009716CD">
        <w:rPr>
          <w:lang w:val="et-EE"/>
        </w:rPr>
        <w:t>)</w:t>
      </w:r>
      <w:r w:rsidR="00776FC1" w:rsidRPr="009716CD">
        <w:rPr>
          <w:lang w:val="et-EE"/>
        </w:rPr>
        <w:t>.</w:t>
      </w:r>
      <w:r w:rsidR="00354EDB" w:rsidRPr="009716CD">
        <w:rPr>
          <w:lang w:val="et-EE"/>
        </w:rPr>
        <w:t xml:space="preserve"> Esimese aasta eelarve ja tegevuskava esitab elluviija </w:t>
      </w:r>
      <w:r w:rsidR="00014A59" w:rsidRPr="009716CD">
        <w:rPr>
          <w:lang w:val="et-EE"/>
        </w:rPr>
        <w:t>kümne</w:t>
      </w:r>
      <w:r w:rsidR="00354EDB" w:rsidRPr="009716CD">
        <w:rPr>
          <w:lang w:val="et-EE"/>
        </w:rPr>
        <w:t xml:space="preserve"> tööpäeva jooksul pärast </w:t>
      </w:r>
      <w:proofErr w:type="spellStart"/>
      <w:r w:rsidRPr="009716CD">
        <w:rPr>
          <w:lang w:val="et-EE"/>
        </w:rPr>
        <w:t>TAT-i</w:t>
      </w:r>
      <w:proofErr w:type="spellEnd"/>
      <w:r w:rsidR="00354EDB" w:rsidRPr="009716CD">
        <w:rPr>
          <w:lang w:val="et-EE"/>
        </w:rPr>
        <w:t xml:space="preserve"> kinnitamist</w:t>
      </w:r>
      <w:r w:rsidR="003211A2" w:rsidRPr="009716CD">
        <w:rPr>
          <w:lang w:val="et-EE"/>
        </w:rPr>
        <w:t>. K</w:t>
      </w:r>
      <w:r w:rsidR="00354EDB" w:rsidRPr="009716CD">
        <w:rPr>
          <w:lang w:val="et-EE"/>
        </w:rPr>
        <w:t xml:space="preserve">innitatud tegevuskava ja eelarve edastab rakendusüksusele </w:t>
      </w:r>
      <w:r w:rsidR="00E1517F" w:rsidRPr="009716CD">
        <w:rPr>
          <w:lang w:val="et-EE"/>
        </w:rPr>
        <w:t>rakendusasutus</w:t>
      </w:r>
      <w:r w:rsidR="00232419" w:rsidRPr="009716CD">
        <w:rPr>
          <w:lang w:val="et-EE"/>
        </w:rPr>
        <w:t>;</w:t>
      </w:r>
    </w:p>
    <w:p w14:paraId="7BC6B796" w14:textId="2B8D90F4" w:rsidR="00B91910" w:rsidRPr="009716CD" w:rsidRDefault="00B91910" w:rsidP="00266F3B">
      <w:pPr>
        <w:pStyle w:val="Pealkiri4"/>
      </w:pPr>
      <w:r w:rsidRPr="009716CD">
        <w:t xml:space="preserve">kui kinnitatud eelarvet muudetakse ühe kalendriaasta jooksul kuni 10% ulatuses,  kooskõlastab elluviija eelarve muutmise </w:t>
      </w:r>
      <w:r w:rsidR="009E2578" w:rsidRPr="009716CD">
        <w:t>enne</w:t>
      </w:r>
      <w:r w:rsidRPr="009716CD">
        <w:t xml:space="preserve"> rakendusüksusega kirjalikku taasesitamist võimaldavas vormis ja </w:t>
      </w:r>
      <w:r w:rsidR="00941935" w:rsidRPr="009716CD">
        <w:t>rakendusasutus muudatust kinnitama ei pea;</w:t>
      </w:r>
    </w:p>
    <w:p w14:paraId="57543D85" w14:textId="03F22214" w:rsidR="002C549C" w:rsidRPr="009716CD" w:rsidRDefault="002C549C" w:rsidP="00266F3B">
      <w:pPr>
        <w:pStyle w:val="Pealkiri4"/>
      </w:pPr>
      <w:r w:rsidRPr="009716CD">
        <w:t>punkti 9.3.</w:t>
      </w:r>
      <w:r w:rsidR="005626DE" w:rsidRPr="009716CD">
        <w:t>1</w:t>
      </w:r>
      <w:r w:rsidRPr="009716CD">
        <w:t>.1 kohaselt muudetud eelarve esitab elluviija rakendusasutusele teadmiseks koos rakendusüksuse kooskõlastusega viie tööpäeva jooksul rakendusüksuse kooskõlastuse saamisest.</w:t>
      </w:r>
    </w:p>
    <w:p w14:paraId="25A4F0BD" w14:textId="4BCC516E" w:rsidR="00A830ED" w:rsidRPr="009716CD" w:rsidRDefault="002C549C" w:rsidP="00FE1AE3">
      <w:pPr>
        <w:pStyle w:val="Pealkiri3"/>
        <w:rPr>
          <w:lang w:val="et-EE"/>
        </w:rPr>
      </w:pPr>
      <w:r w:rsidRPr="009716CD">
        <w:rPr>
          <w:lang w:val="et-EE"/>
        </w:rPr>
        <w:t>taotlema enne kinnitatud eelarvest erinevate kulude tegemist rakendusasutuselt eelarve muutmist juhul, kui vajalikud muudatused on punktis 9.3.</w:t>
      </w:r>
      <w:r w:rsidR="005626DE" w:rsidRPr="009716CD">
        <w:rPr>
          <w:lang w:val="et-EE"/>
        </w:rPr>
        <w:t>1</w:t>
      </w:r>
      <w:r w:rsidRPr="009716CD">
        <w:rPr>
          <w:lang w:val="et-EE"/>
        </w:rPr>
        <w:t>.1 sätestatud mahust suuremad. Kinnitatud eelarvemuudatused edastab rakendusüksusele rakendusasutus</w:t>
      </w:r>
      <w:r w:rsidR="00A830ED" w:rsidRPr="009716CD">
        <w:rPr>
          <w:lang w:val="et-EE"/>
        </w:rPr>
        <w:t>;</w:t>
      </w:r>
    </w:p>
    <w:p w14:paraId="3C66259C" w14:textId="25C37BD6" w:rsidR="00CF0DFC" w:rsidRPr="009716CD" w:rsidRDefault="006B0114" w:rsidP="00FE1AE3">
      <w:pPr>
        <w:pStyle w:val="Pealkiri3"/>
        <w:rPr>
          <w:lang w:val="et-EE"/>
        </w:rPr>
      </w:pPr>
      <w:r w:rsidRPr="009716CD">
        <w:rPr>
          <w:lang w:val="et-EE"/>
        </w:rPr>
        <w:t>e</w:t>
      </w:r>
      <w:r w:rsidR="00C00116" w:rsidRPr="009716CD">
        <w:rPr>
          <w:lang w:val="et-EE"/>
        </w:rPr>
        <w:t>sitama rakendusüksusele järgneva aasta maksete prognoosi</w:t>
      </w:r>
      <w:r w:rsidR="00C55497" w:rsidRPr="009716CD">
        <w:rPr>
          <w:i/>
          <w:iCs/>
          <w:lang w:val="et-EE"/>
        </w:rPr>
        <w:t xml:space="preserve"> </w:t>
      </w:r>
      <w:r w:rsidR="002C549C" w:rsidRPr="009716CD">
        <w:rPr>
          <w:lang w:val="et-EE"/>
        </w:rPr>
        <w:t>kümne</w:t>
      </w:r>
      <w:r w:rsidR="00C00116" w:rsidRPr="009716CD">
        <w:rPr>
          <w:lang w:val="et-EE"/>
        </w:rPr>
        <w:t xml:space="preserve"> tööpäeva jooksul pärast </w:t>
      </w:r>
      <w:r w:rsidR="00EB2AC1" w:rsidRPr="009716CD">
        <w:rPr>
          <w:lang w:val="et-EE"/>
        </w:rPr>
        <w:t xml:space="preserve">seda, kui rakendusasutus on eelarve ja tegevuskava kinnitanud. </w:t>
      </w:r>
      <w:r w:rsidRPr="009716CD">
        <w:rPr>
          <w:lang w:val="et-EE"/>
        </w:rPr>
        <w:t>M</w:t>
      </w:r>
      <w:r w:rsidR="00921A47" w:rsidRPr="009716CD">
        <w:rPr>
          <w:lang w:val="et-EE"/>
        </w:rPr>
        <w:t>aksete prognoos esitatakse e-toetuse keskkonnas</w:t>
      </w:r>
      <w:r w:rsidR="00287A1A" w:rsidRPr="009716CD">
        <w:rPr>
          <w:lang w:val="et-EE"/>
        </w:rPr>
        <w:t>;</w:t>
      </w:r>
    </w:p>
    <w:p w14:paraId="7B10B1EF" w14:textId="5269761B" w:rsidR="007313CC" w:rsidRPr="009716CD" w:rsidRDefault="006B0114" w:rsidP="00266F3B">
      <w:pPr>
        <w:pStyle w:val="Pealkiri4"/>
      </w:pPr>
      <w:r w:rsidRPr="009716CD">
        <w:t>e</w:t>
      </w:r>
      <w:r w:rsidR="007313CC" w:rsidRPr="009716CD">
        <w:t>sitama rakendusüksusele korrigeeritud maksete prognoosi, kui makse erineb esitatud prognoosist rohkem kui 25% võrra;</w:t>
      </w:r>
    </w:p>
    <w:p w14:paraId="004C9EA5" w14:textId="199CC14A" w:rsidR="00287A1A" w:rsidRPr="009716CD" w:rsidRDefault="006B0114" w:rsidP="00FE1AE3">
      <w:pPr>
        <w:pStyle w:val="Pealkiri3"/>
        <w:rPr>
          <w:lang w:val="et-EE"/>
        </w:rPr>
      </w:pPr>
      <w:r w:rsidRPr="009716CD">
        <w:rPr>
          <w:lang w:val="et-EE"/>
        </w:rPr>
        <w:t>e</w:t>
      </w:r>
      <w:r w:rsidR="00287A1A" w:rsidRPr="009716CD">
        <w:rPr>
          <w:lang w:val="et-EE"/>
        </w:rPr>
        <w:t>sitam</w:t>
      </w:r>
      <w:r w:rsidR="00334AB5" w:rsidRPr="009716CD">
        <w:rPr>
          <w:lang w:val="et-EE"/>
        </w:rPr>
        <w:t>a</w:t>
      </w:r>
      <w:r w:rsidR="00287A1A" w:rsidRPr="009716CD">
        <w:rPr>
          <w:lang w:val="et-EE"/>
        </w:rPr>
        <w:t xml:space="preserve"> </w:t>
      </w:r>
      <w:r w:rsidR="00E1517F" w:rsidRPr="009716CD">
        <w:rPr>
          <w:lang w:val="et-EE"/>
        </w:rPr>
        <w:t>rakendusasutusele</w:t>
      </w:r>
      <w:r w:rsidR="00287A1A" w:rsidRPr="009716CD">
        <w:rPr>
          <w:lang w:val="et-EE"/>
        </w:rPr>
        <w:t xml:space="preserve"> ja rakendusüksusele teadmiseks eelneva aasta korrigeeritud eelarve ühe kalendrikuu jooksul alates vastava aasta viimase makse </w:t>
      </w:r>
      <w:r w:rsidRPr="009716CD">
        <w:rPr>
          <w:lang w:val="et-EE"/>
        </w:rPr>
        <w:t>algatamisest</w:t>
      </w:r>
      <w:r w:rsidR="00334AB5" w:rsidRPr="009716CD">
        <w:rPr>
          <w:lang w:val="et-EE"/>
        </w:rPr>
        <w:t xml:space="preserve"> rakendusüksuse poolt</w:t>
      </w:r>
      <w:r w:rsidR="007313CC" w:rsidRPr="009716CD">
        <w:rPr>
          <w:lang w:val="et-EE"/>
        </w:rPr>
        <w:t>;</w:t>
      </w:r>
      <w:r w:rsidR="00334AB5" w:rsidRPr="009716CD">
        <w:rPr>
          <w:lang w:val="et-EE"/>
        </w:rPr>
        <w:t xml:space="preserve"> </w:t>
      </w:r>
    </w:p>
    <w:p w14:paraId="55A38FE8" w14:textId="5A194303" w:rsidR="007313CC" w:rsidRPr="009716CD" w:rsidRDefault="007313CC" w:rsidP="00FE1AE3">
      <w:pPr>
        <w:pStyle w:val="Pealkiri3"/>
        <w:rPr>
          <w:lang w:val="et-EE"/>
        </w:rPr>
      </w:pPr>
      <w:r w:rsidRPr="009716CD">
        <w:rPr>
          <w:lang w:val="et-EE"/>
        </w:rPr>
        <w:t xml:space="preserve">esitama </w:t>
      </w:r>
      <w:r w:rsidR="00E1517F" w:rsidRPr="009716CD">
        <w:rPr>
          <w:lang w:val="et-EE"/>
        </w:rPr>
        <w:t xml:space="preserve">rakendusasutuse </w:t>
      </w:r>
      <w:r w:rsidRPr="009716CD">
        <w:rPr>
          <w:lang w:val="et-EE"/>
        </w:rPr>
        <w:t xml:space="preserve">või rakendusüksuse päringule vastused </w:t>
      </w:r>
      <w:r w:rsidR="002C549C" w:rsidRPr="009716CD">
        <w:rPr>
          <w:lang w:val="et-EE"/>
        </w:rPr>
        <w:t>kümne</w:t>
      </w:r>
      <w:r w:rsidRPr="009716CD">
        <w:rPr>
          <w:lang w:val="et-EE"/>
        </w:rPr>
        <w:t xml:space="preserve"> tööpäeva jooksul vastava päringu saamisest arvates</w:t>
      </w:r>
      <w:r w:rsidR="00877219" w:rsidRPr="009716CD">
        <w:rPr>
          <w:lang w:val="et-EE"/>
        </w:rPr>
        <w:t>;</w:t>
      </w:r>
    </w:p>
    <w:p w14:paraId="4D153579" w14:textId="77232EBB" w:rsidR="00E54CC5" w:rsidRPr="009716CD" w:rsidRDefault="00E54CC5" w:rsidP="00FE1AE3">
      <w:pPr>
        <w:pStyle w:val="Pealkiri3"/>
        <w:rPr>
          <w:lang w:val="et-EE"/>
        </w:rPr>
      </w:pPr>
      <w:r w:rsidRPr="009716CD">
        <w:rPr>
          <w:lang w:val="et-EE"/>
        </w:rPr>
        <w:t xml:space="preserve">esitama rakendusasutusele teadmiseks hiljemalt 14 tööpäeva enne riigihanke väljakuulutamist riigihanke tehnilise kirjelduse </w:t>
      </w:r>
      <w:r w:rsidR="00E523C6" w:rsidRPr="009716CD">
        <w:rPr>
          <w:lang w:val="et-EE"/>
        </w:rPr>
        <w:t>riigi</w:t>
      </w:r>
      <w:r w:rsidRPr="009716CD">
        <w:rPr>
          <w:lang w:val="et-EE"/>
        </w:rPr>
        <w:t>hangete puhul maksumusega üle riigihanke piirmäära riigihangete seaduse mõistes</w:t>
      </w:r>
      <w:r w:rsidR="00877219" w:rsidRPr="009716CD">
        <w:rPr>
          <w:lang w:val="et-EE"/>
        </w:rPr>
        <w:t>;</w:t>
      </w:r>
    </w:p>
    <w:p w14:paraId="4E3D0E13" w14:textId="72CFAD73" w:rsidR="00CC2D90" w:rsidRPr="009716CD" w:rsidRDefault="00CC2D90" w:rsidP="00FE1AE3">
      <w:pPr>
        <w:pStyle w:val="Pealkiri3"/>
        <w:rPr>
          <w:lang w:val="et-EE"/>
        </w:rPr>
      </w:pPr>
      <w:r w:rsidRPr="009716CD">
        <w:rPr>
          <w:lang w:val="et-EE"/>
        </w:rPr>
        <w:t xml:space="preserve">elluviija võib </w:t>
      </w:r>
      <w:r w:rsidR="00596653" w:rsidRPr="009716CD">
        <w:rPr>
          <w:lang w:val="et-EE"/>
        </w:rPr>
        <w:t>rakendusüksuselt</w:t>
      </w:r>
      <w:r w:rsidRPr="009716CD">
        <w:rPr>
          <w:lang w:val="et-EE"/>
        </w:rPr>
        <w:t xml:space="preserve"> taotleda </w:t>
      </w:r>
      <w:r w:rsidR="00AD639D" w:rsidRPr="009716CD">
        <w:rPr>
          <w:lang w:val="et-EE"/>
        </w:rPr>
        <w:t>riigi</w:t>
      </w:r>
      <w:r w:rsidRPr="009716CD">
        <w:rPr>
          <w:lang w:val="et-EE"/>
        </w:rPr>
        <w:t xml:space="preserve">hangete nõustamist </w:t>
      </w:r>
      <w:r w:rsidR="00BF56E3" w:rsidRPr="009716CD">
        <w:rPr>
          <w:lang w:val="et-EE"/>
        </w:rPr>
        <w:t>rakendusüksuse</w:t>
      </w:r>
      <w:r w:rsidRPr="009716CD">
        <w:rPr>
          <w:lang w:val="et-EE"/>
        </w:rPr>
        <w:t xml:space="preserve"> </w:t>
      </w:r>
      <w:r w:rsidR="00E523C6" w:rsidRPr="009716CD">
        <w:rPr>
          <w:lang w:val="et-EE"/>
        </w:rPr>
        <w:t>riigi</w:t>
      </w:r>
      <w:r w:rsidRPr="009716CD">
        <w:rPr>
          <w:lang w:val="et-EE"/>
        </w:rPr>
        <w:t>hangete eelnõustamise protseduuride</w:t>
      </w:r>
      <w:r w:rsidR="00877219" w:rsidRPr="009716CD">
        <w:rPr>
          <w:lang w:val="et-EE"/>
        </w:rPr>
        <w:t xml:space="preserve"> kohaselt</w:t>
      </w:r>
      <w:r w:rsidRPr="009716CD">
        <w:rPr>
          <w:lang w:val="et-EE"/>
        </w:rPr>
        <w:t>;</w:t>
      </w:r>
    </w:p>
    <w:p w14:paraId="399560AD" w14:textId="6BBE7FDA" w:rsidR="0078166A" w:rsidRPr="009716CD" w:rsidRDefault="009C334A" w:rsidP="00FE1AE3">
      <w:pPr>
        <w:pStyle w:val="Pealkiri3"/>
        <w:rPr>
          <w:lang w:val="et-EE"/>
        </w:rPr>
      </w:pPr>
      <w:r w:rsidRPr="009716CD">
        <w:rPr>
          <w:lang w:val="et-EE"/>
        </w:rPr>
        <w:t>t</w:t>
      </w:r>
      <w:r w:rsidR="00F47F4B" w:rsidRPr="009716CD">
        <w:rPr>
          <w:lang w:val="et-EE"/>
        </w:rPr>
        <w:t xml:space="preserve">eavitama </w:t>
      </w:r>
      <w:r w:rsidR="00C97C0F" w:rsidRPr="009716CD">
        <w:rPr>
          <w:lang w:val="et-EE"/>
        </w:rPr>
        <w:t>rakendusasutust,</w:t>
      </w:r>
      <w:r w:rsidR="00F47F4B" w:rsidRPr="009716CD">
        <w:rPr>
          <w:lang w:val="et-EE"/>
        </w:rPr>
        <w:t xml:space="preserve"> kui toetatava tegevusega samalaadsetele tegevusele on taotletud toetust teistest meetmetest või muudest välisabi vahenditest</w:t>
      </w:r>
      <w:r w:rsidR="001D1BD0" w:rsidRPr="009716CD">
        <w:rPr>
          <w:lang w:val="et-EE"/>
        </w:rPr>
        <w:t>;</w:t>
      </w:r>
    </w:p>
    <w:p w14:paraId="04DE22F7" w14:textId="243DFC68" w:rsidR="001D1BD0" w:rsidRPr="009716CD" w:rsidRDefault="00E9555D" w:rsidP="00FE1AE3">
      <w:pPr>
        <w:pStyle w:val="Pealkiri3"/>
        <w:rPr>
          <w:lang w:val="et-EE"/>
        </w:rPr>
      </w:pPr>
      <w:r w:rsidRPr="009716CD">
        <w:rPr>
          <w:lang w:val="et-EE"/>
        </w:rPr>
        <w:t>t</w:t>
      </w:r>
      <w:r w:rsidR="007F71C5" w:rsidRPr="009716CD">
        <w:rPr>
          <w:lang w:val="et-EE"/>
        </w:rPr>
        <w:t>agama toetavate tegevus</w:t>
      </w:r>
      <w:r w:rsidR="00877219" w:rsidRPr="009716CD">
        <w:rPr>
          <w:lang w:val="et-EE"/>
        </w:rPr>
        <w:t>t</w:t>
      </w:r>
      <w:r w:rsidR="007F71C5" w:rsidRPr="009716CD">
        <w:rPr>
          <w:lang w:val="et-EE"/>
        </w:rPr>
        <w:t>e partneritega partnerluslepingu sõlmimise</w:t>
      </w:r>
      <w:r w:rsidR="00E201C7" w:rsidRPr="009716CD">
        <w:rPr>
          <w:lang w:val="et-EE"/>
        </w:rPr>
        <w:t>, milles kirjeldatakse partneri täpsed ülesanded, õigused ja kohustused tege</w:t>
      </w:r>
      <w:r w:rsidR="00C60DC2" w:rsidRPr="009716CD">
        <w:rPr>
          <w:lang w:val="et-EE"/>
        </w:rPr>
        <w:t>vuste elluviimisel</w:t>
      </w:r>
      <w:r w:rsidR="007F71C5" w:rsidRPr="009716CD">
        <w:rPr>
          <w:lang w:val="et-EE"/>
        </w:rPr>
        <w:t>;</w:t>
      </w:r>
    </w:p>
    <w:p w14:paraId="236A6811" w14:textId="26495A8B" w:rsidR="005D5B8E" w:rsidRPr="009716CD" w:rsidRDefault="005D5B8E" w:rsidP="00FE1AE3">
      <w:pPr>
        <w:pStyle w:val="Pealkiri3"/>
        <w:rPr>
          <w:lang w:val="et-EE"/>
        </w:rPr>
      </w:pPr>
      <w:r w:rsidRPr="009716CD">
        <w:rPr>
          <w:lang w:val="et-EE"/>
        </w:rPr>
        <w:t xml:space="preserve">koguma </w:t>
      </w:r>
      <w:r w:rsidR="0047233F" w:rsidRPr="009716CD">
        <w:rPr>
          <w:lang w:val="et-EE"/>
        </w:rPr>
        <w:t xml:space="preserve">ja töötlema </w:t>
      </w:r>
      <w:r w:rsidRPr="009716CD">
        <w:rPr>
          <w:lang w:val="et-EE"/>
        </w:rPr>
        <w:t>andmeid seirearuande jaoks</w:t>
      </w:r>
      <w:r w:rsidR="00CC2D90" w:rsidRPr="009716CD">
        <w:rPr>
          <w:lang w:val="et-EE"/>
        </w:rPr>
        <w:t>;</w:t>
      </w:r>
    </w:p>
    <w:p w14:paraId="64B5B6BC" w14:textId="05104BE2" w:rsidR="00711483" w:rsidRPr="009716CD" w:rsidRDefault="00711483" w:rsidP="00FE1AE3">
      <w:pPr>
        <w:pStyle w:val="Pealkiri3"/>
        <w:rPr>
          <w:lang w:val="et-EE"/>
        </w:rPr>
      </w:pPr>
      <w:bookmarkStart w:id="45" w:name="_Hlk181715887"/>
      <w:r w:rsidRPr="009716CD">
        <w:rPr>
          <w:lang w:val="et-EE"/>
        </w:rPr>
        <w:t>moodusta</w:t>
      </w:r>
      <w:r w:rsidR="002E64C8" w:rsidRPr="009716CD">
        <w:rPr>
          <w:lang w:val="et-EE"/>
        </w:rPr>
        <w:t>m</w:t>
      </w:r>
      <w:r w:rsidRPr="009716CD">
        <w:rPr>
          <w:lang w:val="et-EE"/>
        </w:rPr>
        <w:t xml:space="preserve">a </w:t>
      </w:r>
      <w:r w:rsidR="00C77940" w:rsidRPr="009716CD">
        <w:rPr>
          <w:lang w:val="et-EE"/>
        </w:rPr>
        <w:t>koostöös rakendusasutusega eksper</w:t>
      </w:r>
      <w:r w:rsidR="00877219" w:rsidRPr="009716CD">
        <w:rPr>
          <w:lang w:val="et-EE"/>
        </w:rPr>
        <w:t>di</w:t>
      </w:r>
      <w:r w:rsidR="00C77940" w:rsidRPr="009716CD">
        <w:rPr>
          <w:lang w:val="et-EE"/>
        </w:rPr>
        <w:t xml:space="preserve">grupi, mille </w:t>
      </w:r>
      <w:r w:rsidR="000F5E2F" w:rsidRPr="009716CD">
        <w:rPr>
          <w:lang w:val="et-EE"/>
        </w:rPr>
        <w:t>ülesan</w:t>
      </w:r>
      <w:r w:rsidR="00877219" w:rsidRPr="009716CD">
        <w:rPr>
          <w:lang w:val="et-EE"/>
        </w:rPr>
        <w:t>ne</w:t>
      </w:r>
      <w:r w:rsidR="000F5E2F" w:rsidRPr="009716CD">
        <w:rPr>
          <w:lang w:val="et-EE"/>
        </w:rPr>
        <w:t xml:space="preserve"> on elluviija nõustamine</w:t>
      </w:r>
      <w:r w:rsidR="005D1F0C" w:rsidRPr="009716CD">
        <w:rPr>
          <w:lang w:val="et-EE"/>
        </w:rPr>
        <w:t xml:space="preserve"> punkti</w:t>
      </w:r>
      <w:r w:rsidR="006F28D3" w:rsidRPr="009716CD">
        <w:rPr>
          <w:lang w:val="et-EE"/>
        </w:rPr>
        <w:t>de</w:t>
      </w:r>
      <w:r w:rsidR="005D1F0C" w:rsidRPr="009716CD">
        <w:rPr>
          <w:lang w:val="et-EE"/>
        </w:rPr>
        <w:t xml:space="preserve">s 3.5.1 </w:t>
      </w:r>
      <w:r w:rsidR="006F28D3" w:rsidRPr="009716CD">
        <w:rPr>
          <w:lang w:val="et-EE"/>
        </w:rPr>
        <w:t xml:space="preserve">ja 3.5.2 </w:t>
      </w:r>
      <w:r w:rsidR="005D1F0C" w:rsidRPr="009716CD">
        <w:rPr>
          <w:lang w:val="et-EE"/>
        </w:rPr>
        <w:t>toodud tegevuste</w:t>
      </w:r>
      <w:r w:rsidR="000F5E2F" w:rsidRPr="009716CD">
        <w:rPr>
          <w:lang w:val="et-EE"/>
        </w:rPr>
        <w:t xml:space="preserve"> planeerimisel</w:t>
      </w:r>
      <w:bookmarkEnd w:id="45"/>
      <w:r w:rsidR="00F13C4A" w:rsidRPr="009716CD">
        <w:rPr>
          <w:lang w:val="et-EE"/>
        </w:rPr>
        <w:t>;</w:t>
      </w:r>
      <w:r w:rsidR="000F5E2F" w:rsidRPr="009716CD">
        <w:rPr>
          <w:lang w:val="et-EE"/>
        </w:rPr>
        <w:t xml:space="preserve"> </w:t>
      </w:r>
    </w:p>
    <w:p w14:paraId="51280A25" w14:textId="71D37678" w:rsidR="006F28D3" w:rsidRPr="009716CD" w:rsidRDefault="00B70BFA" w:rsidP="006F28D3">
      <w:pPr>
        <w:pStyle w:val="Pealkiri4"/>
      </w:pPr>
      <w:bookmarkStart w:id="46" w:name="_Hlk181716022"/>
      <w:r w:rsidRPr="009716CD">
        <w:t>k</w:t>
      </w:r>
      <w:r w:rsidR="006F28D3" w:rsidRPr="009716CD">
        <w:t xml:space="preserve">orraldama eksperdigrupi koosoleku vähemalt </w:t>
      </w:r>
      <w:r w:rsidR="00E5772A" w:rsidRPr="009716CD">
        <w:t>kord poolaastas</w:t>
      </w:r>
      <w:r w:rsidR="006F28D3" w:rsidRPr="009716CD">
        <w:t xml:space="preserve"> sealhulgas </w:t>
      </w:r>
      <w:r w:rsidR="00801808" w:rsidRPr="009716CD">
        <w:t xml:space="preserve">kooskõlastama eksperdigrupiga </w:t>
      </w:r>
      <w:r w:rsidR="006F28D3" w:rsidRPr="009716CD">
        <w:t xml:space="preserve">punktis 9.3.1 nimetatud järgneva aasta tegevuskava </w:t>
      </w:r>
      <w:r w:rsidR="006F28D3" w:rsidRPr="009716CD">
        <w:lastRenderedPageBreak/>
        <w:t>ja eelarve enne rakendusasutusele esitamist</w:t>
      </w:r>
      <w:bookmarkEnd w:id="46"/>
      <w:r w:rsidR="006F28D3" w:rsidRPr="009716CD">
        <w:t>;</w:t>
      </w:r>
    </w:p>
    <w:p w14:paraId="49106FA4" w14:textId="2621BD4F" w:rsidR="00F10A99" w:rsidRPr="009716CD" w:rsidRDefault="00F10A99" w:rsidP="00FE1AE3">
      <w:pPr>
        <w:pStyle w:val="Pealkiri3"/>
        <w:rPr>
          <w:lang w:val="et-EE"/>
        </w:rPr>
      </w:pPr>
      <w:r w:rsidRPr="009716CD">
        <w:rPr>
          <w:lang w:val="et-EE"/>
        </w:rPr>
        <w:t>tagama sihtrühmale suunatud sündmustele ligipääsetavuse füüsilises ja virtuaalses keskkonnas;</w:t>
      </w:r>
    </w:p>
    <w:p w14:paraId="77684E72" w14:textId="32AEE860" w:rsidR="003230E1" w:rsidRPr="009716CD" w:rsidRDefault="003230E1" w:rsidP="00FE1AE3">
      <w:pPr>
        <w:pStyle w:val="Pealkiri3"/>
        <w:rPr>
          <w:lang w:val="et-EE"/>
        </w:rPr>
      </w:pPr>
      <w:bookmarkStart w:id="47" w:name="_Hlk123292086"/>
      <w:r w:rsidRPr="009716CD">
        <w:rPr>
          <w:lang w:val="et-EE"/>
        </w:rPr>
        <w:t>täitma teavitamisega seotud kohustusi teavitamise määruse</w:t>
      </w:r>
      <w:r w:rsidR="005868F5" w:rsidRPr="009716CD">
        <w:rPr>
          <w:lang w:val="et-EE"/>
        </w:rPr>
        <w:t xml:space="preserve"> kohaselt</w:t>
      </w:r>
      <w:r w:rsidRPr="009716CD">
        <w:rPr>
          <w:lang w:val="et-EE"/>
        </w:rPr>
        <w:t>;</w:t>
      </w:r>
      <w:bookmarkEnd w:id="47"/>
    </w:p>
    <w:p w14:paraId="065542F2" w14:textId="0A3D432C" w:rsidR="008F1418" w:rsidRPr="009716CD" w:rsidRDefault="008F1418" w:rsidP="00FE1AE3">
      <w:pPr>
        <w:pStyle w:val="Pealkiri3"/>
        <w:rPr>
          <w:lang w:val="et-EE"/>
        </w:rPr>
      </w:pPr>
      <w:r w:rsidRPr="009716CD">
        <w:rPr>
          <w:lang w:val="et-EE"/>
        </w:rPr>
        <w:t>viivitamat</w:t>
      </w:r>
      <w:r w:rsidR="00877219" w:rsidRPr="009716CD">
        <w:rPr>
          <w:lang w:val="et-EE"/>
        </w:rPr>
        <w:t>a</w:t>
      </w:r>
      <w:r w:rsidRPr="009716CD">
        <w:rPr>
          <w:lang w:val="et-EE"/>
        </w:rPr>
        <w:t xml:space="preserve"> tea</w:t>
      </w:r>
      <w:r w:rsidR="00C07B6A" w:rsidRPr="009716CD">
        <w:rPr>
          <w:lang w:val="et-EE"/>
        </w:rPr>
        <w:t>vitama</w:t>
      </w:r>
      <w:r w:rsidRPr="009716CD">
        <w:rPr>
          <w:lang w:val="et-EE"/>
        </w:rPr>
        <w:t xml:space="preserve"> </w:t>
      </w:r>
      <w:r w:rsidR="00C07B6A" w:rsidRPr="009716CD">
        <w:rPr>
          <w:lang w:val="et-EE"/>
        </w:rPr>
        <w:t xml:space="preserve">rakendusasutust </w:t>
      </w:r>
      <w:r w:rsidRPr="009716CD">
        <w:rPr>
          <w:lang w:val="et-EE"/>
        </w:rPr>
        <w:t>kirjalikku taasesitamist võimaldavas vormis:</w:t>
      </w:r>
    </w:p>
    <w:p w14:paraId="0FF5EE65" w14:textId="746F6AA2" w:rsidR="008F1418" w:rsidRPr="009716CD" w:rsidRDefault="008F1418" w:rsidP="00266F3B">
      <w:pPr>
        <w:pStyle w:val="Pealkiri4"/>
      </w:pPr>
      <w:r w:rsidRPr="009716CD">
        <w:t>asjaoludest, mis takistavad elluviija ülesandeid</w:t>
      </w:r>
      <w:r w:rsidR="000B4E14" w:rsidRPr="009716CD">
        <w:t xml:space="preserve"> täitmast</w:t>
      </w:r>
      <w:r w:rsidRPr="009716CD">
        <w:t>;</w:t>
      </w:r>
    </w:p>
    <w:p w14:paraId="68C7602C" w14:textId="4D60802F" w:rsidR="008F1418" w:rsidRPr="009716CD" w:rsidRDefault="006A658E" w:rsidP="00266F3B">
      <w:pPr>
        <w:pStyle w:val="Pealkiri4"/>
      </w:pPr>
      <w:proofErr w:type="spellStart"/>
      <w:r w:rsidRPr="009716CD">
        <w:t>TAT-i</w:t>
      </w:r>
      <w:proofErr w:type="spellEnd"/>
      <w:r w:rsidR="008F1418" w:rsidRPr="009716CD">
        <w:t xml:space="preserve"> muutmise vajalikkusest;</w:t>
      </w:r>
    </w:p>
    <w:p w14:paraId="0451A783" w14:textId="426120CB" w:rsidR="008F1418" w:rsidRPr="009716CD" w:rsidRDefault="008F1418" w:rsidP="00266F3B">
      <w:pPr>
        <w:pStyle w:val="Pealkiri4"/>
      </w:pPr>
      <w:r w:rsidRPr="009716CD">
        <w:t xml:space="preserve">toetatava tegevuse elluviimisel esinevatest probleemidest, mis võivad mõjutada </w:t>
      </w:r>
      <w:r w:rsidR="00C65580" w:rsidRPr="009716CD">
        <w:t xml:space="preserve">tulemuse </w:t>
      </w:r>
      <w:r w:rsidRPr="009716CD">
        <w:t xml:space="preserve">saavutamist. </w:t>
      </w:r>
    </w:p>
    <w:p w14:paraId="678BD0BB" w14:textId="249EC810" w:rsidR="00C0787F" w:rsidRPr="009716CD" w:rsidRDefault="00C0787F" w:rsidP="00C0787F">
      <w:pPr>
        <w:ind w:left="709" w:hanging="709"/>
      </w:pPr>
      <w:r w:rsidRPr="009716CD">
        <w:t xml:space="preserve">9.3.15 </w:t>
      </w:r>
      <w:bookmarkStart w:id="48" w:name="_Hlk181716174"/>
      <w:r w:rsidRPr="009716CD">
        <w:t>osalema „Sidusa Eesti arengukava 2021-2030“ lõimumis-, sh kohanemisvaldkonna juhtrühma koosolekutel.</w:t>
      </w:r>
      <w:bookmarkEnd w:id="48"/>
    </w:p>
    <w:p w14:paraId="74B44B9B" w14:textId="010D1E2A" w:rsidR="00EE0AE6" w:rsidRPr="009716CD" w:rsidRDefault="00EE0AE6" w:rsidP="00B52F78">
      <w:pPr>
        <w:pStyle w:val="Pealkiri1"/>
      </w:pPr>
      <w:r w:rsidRPr="009716CD">
        <w:t>Partnerite kohustused</w:t>
      </w:r>
    </w:p>
    <w:p w14:paraId="589F3E48" w14:textId="1AF50675" w:rsidR="00F13FB3" w:rsidRPr="009716CD" w:rsidRDefault="004730B4" w:rsidP="00173DCD">
      <w:pPr>
        <w:pStyle w:val="Pealkiri2"/>
      </w:pPr>
      <w:r w:rsidRPr="009716CD">
        <w:t xml:space="preserve">Partnerid peavad täitma </w:t>
      </w:r>
      <w:proofErr w:type="spellStart"/>
      <w:r w:rsidRPr="009716CD">
        <w:t>ÜM</w:t>
      </w:r>
      <w:r w:rsidR="00A6752B" w:rsidRPr="009716CD">
        <w:t>-i</w:t>
      </w:r>
      <w:proofErr w:type="spellEnd"/>
      <w:r w:rsidRPr="009716CD">
        <w:t xml:space="preserve"> §</w:t>
      </w:r>
      <w:r w:rsidR="00143BF9" w:rsidRPr="009716CD">
        <w:t xml:space="preserve"> </w:t>
      </w:r>
      <w:r w:rsidRPr="009716CD">
        <w:t>10 lõigetes 2 ja 3 nimetatud kohustusi.</w:t>
      </w:r>
    </w:p>
    <w:p w14:paraId="0717EDA0" w14:textId="0346BCF9" w:rsidR="00F13FB3" w:rsidRPr="009716CD" w:rsidRDefault="00F13FB3" w:rsidP="00173DCD">
      <w:pPr>
        <w:pStyle w:val="Pealkiri2"/>
      </w:pPr>
      <w:r w:rsidRPr="009716CD">
        <w:t xml:space="preserve">Lisaks </w:t>
      </w:r>
      <w:proofErr w:type="spellStart"/>
      <w:r w:rsidRPr="009716CD">
        <w:t>ÜM</w:t>
      </w:r>
      <w:r w:rsidR="00143BF9" w:rsidRPr="009716CD">
        <w:t>-i</w:t>
      </w:r>
      <w:proofErr w:type="spellEnd"/>
      <w:r w:rsidRPr="009716CD">
        <w:t xml:space="preserve"> §</w:t>
      </w:r>
      <w:r w:rsidR="00143BF9" w:rsidRPr="009716CD">
        <w:t xml:space="preserve"> </w:t>
      </w:r>
      <w:r w:rsidRPr="009716CD">
        <w:t>10 lõigetes 2 ja 3 nimetatud kohustustele on partnerid kohustatud tagama elluviijaga partnerluslepingute sõlmimise ja sihtrühmale suunatud sündmustele ligipääsetavuse.</w:t>
      </w:r>
    </w:p>
    <w:p w14:paraId="795D8882" w14:textId="676BA725" w:rsidR="0097571B" w:rsidRPr="009716CD" w:rsidRDefault="00310F9A" w:rsidP="00B52F78">
      <w:pPr>
        <w:pStyle w:val="Pealkiri1"/>
      </w:pPr>
      <w:r w:rsidRPr="009716CD">
        <w:t>Toetuse kasutamisega seotud aruannete esitamise kord</w:t>
      </w:r>
    </w:p>
    <w:p w14:paraId="41E3BB26" w14:textId="4A6AB9D2" w:rsidR="00E61D5B" w:rsidRPr="009716CD" w:rsidRDefault="00010F85" w:rsidP="00173DCD">
      <w:pPr>
        <w:pStyle w:val="Pealkiri2"/>
      </w:pPr>
      <w:r w:rsidRPr="009716CD">
        <w:t>Toet</w:t>
      </w:r>
      <w:r w:rsidR="00310F9A" w:rsidRPr="009716CD">
        <w:t xml:space="preserve">use kasutamisega seotud aruanded </w:t>
      </w:r>
      <w:r w:rsidRPr="009716CD">
        <w:t xml:space="preserve">jagunevad vahe- ja lõpparuanneteks (edaspidi koos </w:t>
      </w:r>
      <w:r w:rsidRPr="009716CD">
        <w:rPr>
          <w:i/>
          <w:iCs/>
        </w:rPr>
        <w:t>seirearuanne</w:t>
      </w:r>
      <w:r w:rsidRPr="009716CD">
        <w:t xml:space="preserve">). Seirearuannetes annab elluviija kumulatiivselt ülevaate toetatava tegevuse elluviimisest, </w:t>
      </w:r>
      <w:r w:rsidR="00F57273" w:rsidRPr="009716CD">
        <w:t xml:space="preserve">eelarve täitmisest, näitajate saavutamisest ning </w:t>
      </w:r>
      <w:r w:rsidR="00E61D5B" w:rsidRPr="009716CD">
        <w:t xml:space="preserve">mõjust strateegia „Eesti 2035“ sihti ja näitajatesse </w:t>
      </w:r>
      <w:r w:rsidR="00436CBC" w:rsidRPr="009716CD">
        <w:t>ning ellu viidud tegevuste panusest horisontaalsetesse põhimõtetesse</w:t>
      </w:r>
      <w:r w:rsidR="00E61D5B" w:rsidRPr="009716CD">
        <w:t xml:space="preserve">. </w:t>
      </w:r>
    </w:p>
    <w:p w14:paraId="4A9B57FE" w14:textId="71847B08" w:rsidR="00010F85" w:rsidRPr="009716CD" w:rsidRDefault="009F072D" w:rsidP="00173DCD">
      <w:pPr>
        <w:pStyle w:val="Pealkiri2"/>
      </w:pPr>
      <w:r w:rsidRPr="009716CD">
        <w:t xml:space="preserve">Elluviija esitab rakendusüksusele lisas 3 kehtestatud vormil vahearuande koos eelarve täitmise vormiga kulukohtade lõikes (lisa 4) </w:t>
      </w:r>
      <w:r w:rsidR="00010F85" w:rsidRPr="009716CD">
        <w:t xml:space="preserve">e-toetuse keskkonna kaudu iga aasta </w:t>
      </w:r>
      <w:r w:rsidR="00522C83" w:rsidRPr="009716CD">
        <w:t>20</w:t>
      </w:r>
      <w:r w:rsidR="00010F85" w:rsidRPr="009716CD">
        <w:t>.</w:t>
      </w:r>
      <w:r w:rsidR="00C07E28" w:rsidRPr="009716CD">
        <w:t> </w:t>
      </w:r>
      <w:r w:rsidR="00010F85" w:rsidRPr="009716CD">
        <w:t>jaanuariks</w:t>
      </w:r>
      <w:r w:rsidR="00605E8D" w:rsidRPr="009716CD">
        <w:t>,</w:t>
      </w:r>
      <w:r w:rsidR="007E252C" w:rsidRPr="009716CD">
        <w:t xml:space="preserve"> rakendusüksuse nõudmisel tihedamini</w:t>
      </w:r>
      <w:r w:rsidR="00010F85" w:rsidRPr="009716CD">
        <w:t xml:space="preserve">. </w:t>
      </w:r>
    </w:p>
    <w:p w14:paraId="3695A5AF" w14:textId="61EDB5BC" w:rsidR="00010F85" w:rsidRPr="009716CD" w:rsidRDefault="00010F85" w:rsidP="00173DCD">
      <w:pPr>
        <w:pStyle w:val="Pealkiri2"/>
      </w:pPr>
      <w:r w:rsidRPr="009716CD">
        <w:t xml:space="preserve">Elluviija esitab </w:t>
      </w:r>
      <w:r w:rsidR="006973B0" w:rsidRPr="009716CD">
        <w:t xml:space="preserve">rakendusüksusele lisas 3 kehtestatud vormil lõpparuande koos </w:t>
      </w:r>
      <w:r w:rsidR="00E663EE" w:rsidRPr="009716CD">
        <w:t>eelarve täitmise vormiga kulukohtade lõikes (lisa 4)</w:t>
      </w:r>
      <w:r w:rsidR="006973B0" w:rsidRPr="009716CD">
        <w:t xml:space="preserve"> e-toetuse keskkonna kaudu</w:t>
      </w:r>
      <w:r w:rsidRPr="009716CD">
        <w:t xml:space="preserve"> 30 kalendripäeva jooksul toetatava tegevuse abikõlblikkuse perioodi lõppkuupäevast arvates. </w:t>
      </w:r>
    </w:p>
    <w:p w14:paraId="2601F880" w14:textId="1B885CCE" w:rsidR="00010F85" w:rsidRPr="009716CD" w:rsidRDefault="00010F85" w:rsidP="00173DCD">
      <w:pPr>
        <w:pStyle w:val="Pealkiri2"/>
      </w:pPr>
      <w:r w:rsidRPr="009716CD">
        <w:t>Juhul</w:t>
      </w:r>
      <w:r w:rsidR="00310F9A" w:rsidRPr="009716CD">
        <w:t>,</w:t>
      </w:r>
      <w:r w:rsidRPr="009716CD">
        <w:t xml:space="preserve"> kui vahearuande ja lõpparuande esitamise tähtaja vahe on vähem kui kuus kuud, esitatakse ainult lõpparuanne.</w:t>
      </w:r>
    </w:p>
    <w:p w14:paraId="391F61AE" w14:textId="75DDE297" w:rsidR="003A5A69" w:rsidRPr="009716CD" w:rsidRDefault="00A6752B" w:rsidP="00173DCD">
      <w:pPr>
        <w:pStyle w:val="Pealkiri2"/>
      </w:pPr>
      <w:r w:rsidRPr="009716CD">
        <w:t>Rakendusüksus kontrollib 20 tööpäeva jooksul seirearuande laekumisest aruande vormikohasust ja nõuetekohast täidetust</w:t>
      </w:r>
      <w:r w:rsidR="00010F85" w:rsidRPr="009716CD">
        <w:t xml:space="preserve">. </w:t>
      </w:r>
    </w:p>
    <w:p w14:paraId="34A71CBE" w14:textId="339DCD41" w:rsidR="00010F85" w:rsidRPr="009716CD" w:rsidRDefault="00010F85" w:rsidP="00FE1AE3">
      <w:pPr>
        <w:pStyle w:val="Pealkiri3"/>
        <w:rPr>
          <w:lang w:val="et-EE"/>
        </w:rPr>
      </w:pPr>
      <w:r w:rsidRPr="009716CD">
        <w:rPr>
          <w:lang w:val="et-EE"/>
        </w:rPr>
        <w:t>Juhul</w:t>
      </w:r>
      <w:r w:rsidR="00C3754A" w:rsidRPr="009716CD">
        <w:rPr>
          <w:lang w:val="et-EE"/>
        </w:rPr>
        <w:t>,</w:t>
      </w:r>
      <w:r w:rsidRPr="009716CD">
        <w:rPr>
          <w:lang w:val="et-EE"/>
        </w:rPr>
        <w:t xml:space="preserve"> kui vahearuandes puudusi ei esine, kinnitab </w:t>
      </w:r>
      <w:r w:rsidR="00925796" w:rsidRPr="009716CD">
        <w:rPr>
          <w:lang w:val="et-EE"/>
        </w:rPr>
        <w:t>rakendusüksus</w:t>
      </w:r>
      <w:r w:rsidRPr="009716CD">
        <w:rPr>
          <w:lang w:val="et-EE"/>
        </w:rPr>
        <w:t xml:space="preserve"> vahearuande. </w:t>
      </w:r>
    </w:p>
    <w:p w14:paraId="5ECD7EFF" w14:textId="76E74512" w:rsidR="003A5A69" w:rsidRPr="009716CD" w:rsidRDefault="003A5A69" w:rsidP="00FE1AE3">
      <w:pPr>
        <w:pStyle w:val="Pealkiri3"/>
        <w:rPr>
          <w:lang w:val="et-EE"/>
        </w:rPr>
      </w:pPr>
      <w:r w:rsidRPr="009716CD">
        <w:rPr>
          <w:lang w:val="et-EE"/>
        </w:rPr>
        <w:t xml:space="preserve">Juhul, kui lõpparuandes puudusi ei esine, kooskõlastab rakendusüksus lõpparuande ja edastab selle viie tööpäeva jooksul rakendusasutusele kinnitamiseks. Kui rakendusasutus on lõpparuande kinnitanud, teavitab ta sellest rakendusüksust </w:t>
      </w:r>
      <w:r w:rsidR="00426247" w:rsidRPr="009716CD">
        <w:rPr>
          <w:lang w:val="et-EE"/>
        </w:rPr>
        <w:t>kolme</w:t>
      </w:r>
      <w:r w:rsidRPr="009716CD">
        <w:rPr>
          <w:lang w:val="et-EE"/>
        </w:rPr>
        <w:t xml:space="preserve"> tööpäeva jooksul kirjalikku taasesitamist võimaldavas vormis.</w:t>
      </w:r>
    </w:p>
    <w:p w14:paraId="0A06817D" w14:textId="1DC02140" w:rsidR="00010F85" w:rsidRPr="009716CD" w:rsidRDefault="00010F85" w:rsidP="00173DCD">
      <w:pPr>
        <w:pStyle w:val="Pealkiri2"/>
      </w:pPr>
      <w:r w:rsidRPr="009716CD">
        <w:t xml:space="preserve">Kui vahearuandes esineb puudusi, annab </w:t>
      </w:r>
      <w:r w:rsidR="003A5A69" w:rsidRPr="009716CD">
        <w:t>rakendusüksus</w:t>
      </w:r>
      <w:r w:rsidRPr="009716CD">
        <w:t xml:space="preserve"> </w:t>
      </w:r>
      <w:r w:rsidR="003A5A69" w:rsidRPr="009716CD">
        <w:t>elluviijale</w:t>
      </w:r>
      <w:r w:rsidRPr="009716CD">
        <w:t xml:space="preserve"> kuni </w:t>
      </w:r>
      <w:r w:rsidR="00426247" w:rsidRPr="009716CD">
        <w:t>kümne</w:t>
      </w:r>
      <w:r w:rsidRPr="009716CD">
        <w:t xml:space="preserve"> tööpäeva puuduste kõrvaldamiseks. Pärast puuduste kõrvaldamist kinnitab </w:t>
      </w:r>
      <w:r w:rsidR="003A5A69" w:rsidRPr="009716CD">
        <w:t>rakendusüksus</w:t>
      </w:r>
      <w:r w:rsidRPr="009716CD">
        <w:t xml:space="preserve"> vahearuande </w:t>
      </w:r>
      <w:r w:rsidR="00426247" w:rsidRPr="009716CD">
        <w:t>viie</w:t>
      </w:r>
      <w:r w:rsidR="00AB23BF" w:rsidRPr="009716CD">
        <w:t xml:space="preserve"> </w:t>
      </w:r>
      <w:r w:rsidRPr="009716CD">
        <w:t xml:space="preserve">tööpäeva jooksul. </w:t>
      </w:r>
    </w:p>
    <w:p w14:paraId="36A2516E" w14:textId="6DC67DCB" w:rsidR="00010F85" w:rsidRPr="009716CD" w:rsidRDefault="00010F85" w:rsidP="00173DCD">
      <w:pPr>
        <w:pStyle w:val="Pealkiri2"/>
      </w:pPr>
      <w:r w:rsidRPr="009716CD">
        <w:t xml:space="preserve">Kui lõpparuandes esineb puudusi, annab </w:t>
      </w:r>
      <w:r w:rsidR="003A5A69" w:rsidRPr="009716CD">
        <w:t>rakendusüksus</w:t>
      </w:r>
      <w:r w:rsidRPr="009716CD">
        <w:t xml:space="preserve"> elluviijale kuni </w:t>
      </w:r>
      <w:r w:rsidR="00426247" w:rsidRPr="009716CD">
        <w:t>kümme</w:t>
      </w:r>
      <w:r w:rsidRPr="009716CD">
        <w:t xml:space="preserve"> tööpäeva puuduste kõrvaldamiseks ning edastab aruande </w:t>
      </w:r>
      <w:r w:rsidR="00426247" w:rsidRPr="009716CD">
        <w:t>viie</w:t>
      </w:r>
      <w:r w:rsidRPr="009716CD">
        <w:t xml:space="preserve"> tööpäeva jooksul pärast puuduste kõrvaldamist </w:t>
      </w:r>
      <w:r w:rsidR="003A5A69" w:rsidRPr="009716CD">
        <w:t>rakendusasutusele</w:t>
      </w:r>
      <w:r w:rsidRPr="009716CD">
        <w:t xml:space="preserve"> kinnitamiseks. </w:t>
      </w:r>
    </w:p>
    <w:p w14:paraId="0C1ACB92" w14:textId="6D002DEB" w:rsidR="00010F85" w:rsidRPr="009716CD" w:rsidRDefault="00010F85" w:rsidP="00173DCD">
      <w:pPr>
        <w:pStyle w:val="Pealkiri2"/>
      </w:pPr>
      <w:r w:rsidRPr="009716CD">
        <w:t xml:space="preserve">Kui </w:t>
      </w:r>
      <w:r w:rsidR="003A5A69" w:rsidRPr="009716CD">
        <w:t>rakendusasutusele</w:t>
      </w:r>
      <w:r w:rsidRPr="009716CD">
        <w:t xml:space="preserve"> esitatud lõpparuandes esineb puudusi, teavitab </w:t>
      </w:r>
      <w:r w:rsidR="003A5A69" w:rsidRPr="009716CD">
        <w:t>rakendusasutus</w:t>
      </w:r>
      <w:r w:rsidRPr="009716CD">
        <w:t xml:space="preserve"> sellest </w:t>
      </w:r>
      <w:r w:rsidR="003A5A69" w:rsidRPr="009716CD">
        <w:t>rakendusüksust</w:t>
      </w:r>
      <w:r w:rsidRPr="009716CD">
        <w:t xml:space="preserve"> </w:t>
      </w:r>
      <w:r w:rsidR="00B93775" w:rsidRPr="009716CD">
        <w:t xml:space="preserve">ning lõpparuannet menetletakse edasi </w:t>
      </w:r>
      <w:proofErr w:type="spellStart"/>
      <w:r w:rsidR="00B93775" w:rsidRPr="009716CD">
        <w:t>TAT-i</w:t>
      </w:r>
      <w:proofErr w:type="spellEnd"/>
      <w:r w:rsidR="00B93775" w:rsidRPr="009716CD">
        <w:t xml:space="preserve"> punkti 11.7 kohaselt</w:t>
      </w:r>
      <w:r w:rsidRPr="009716CD">
        <w:t xml:space="preserve">. </w:t>
      </w:r>
    </w:p>
    <w:p w14:paraId="7B005503" w14:textId="3870E97E" w:rsidR="00010F85" w:rsidRPr="009716CD" w:rsidRDefault="00010F85" w:rsidP="00173DCD">
      <w:pPr>
        <w:pStyle w:val="Pealkiri2"/>
      </w:pPr>
      <w:r w:rsidRPr="009716CD">
        <w:t xml:space="preserve">Kui </w:t>
      </w:r>
      <w:r w:rsidR="003A5A69" w:rsidRPr="009716CD">
        <w:t>rakendusasutusele</w:t>
      </w:r>
      <w:r w:rsidRPr="009716CD">
        <w:t xml:space="preserve"> esitatud lõpparuandes puudusi ei esine, kinnitab </w:t>
      </w:r>
      <w:r w:rsidR="003A5A69" w:rsidRPr="009716CD">
        <w:t>rakendusasutus</w:t>
      </w:r>
      <w:r w:rsidRPr="009716CD">
        <w:t xml:space="preserve"> </w:t>
      </w:r>
      <w:r w:rsidR="003A5A69" w:rsidRPr="009716CD">
        <w:t>lõpp</w:t>
      </w:r>
      <w:r w:rsidRPr="009716CD">
        <w:t xml:space="preserve">aruande ja teavitab </w:t>
      </w:r>
      <w:r w:rsidR="003A5A69" w:rsidRPr="009716CD">
        <w:t>rakendusüksust</w:t>
      </w:r>
      <w:r w:rsidRPr="009716CD">
        <w:t xml:space="preserve"> lõpparuande kinnitamisest </w:t>
      </w:r>
      <w:r w:rsidR="00426247" w:rsidRPr="009716CD">
        <w:t>kolme</w:t>
      </w:r>
      <w:r w:rsidRPr="009716CD">
        <w:t xml:space="preserve"> tööpäeva </w:t>
      </w:r>
      <w:r w:rsidRPr="009716CD">
        <w:lastRenderedPageBreak/>
        <w:t>jooksul kirjalikku taasesitamist võimaldavas vormis.</w:t>
      </w:r>
    </w:p>
    <w:p w14:paraId="79FF5737" w14:textId="4001ED28" w:rsidR="006A1312" w:rsidRPr="009716CD" w:rsidRDefault="00CB11CB" w:rsidP="00B52F78">
      <w:pPr>
        <w:pStyle w:val="Pealkiri1"/>
      </w:pPr>
      <w:proofErr w:type="spellStart"/>
      <w:r w:rsidRPr="009716CD">
        <w:t>TAT-i</w:t>
      </w:r>
      <w:proofErr w:type="spellEnd"/>
      <w:r w:rsidR="006A1312" w:rsidRPr="009716CD">
        <w:t xml:space="preserve"> muutmine</w:t>
      </w:r>
    </w:p>
    <w:p w14:paraId="177B2E22" w14:textId="41A8EF8A" w:rsidR="00C742F2" w:rsidRPr="009716CD" w:rsidRDefault="00C742F2" w:rsidP="00173DCD">
      <w:pPr>
        <w:pStyle w:val="Pealkiri2"/>
      </w:pPr>
      <w:r w:rsidRPr="009716CD">
        <w:t>Kui ilmneb vajadus toetat</w:t>
      </w:r>
      <w:r w:rsidR="00002F6B" w:rsidRPr="009716CD">
        <w:t>avat</w:t>
      </w:r>
      <w:r w:rsidRPr="009716CD">
        <w:t xml:space="preserve"> tegevus</w:t>
      </w:r>
      <w:r w:rsidR="00002F6B" w:rsidRPr="009716CD">
        <w:t>t</w:t>
      </w:r>
      <w:r w:rsidRPr="009716CD">
        <w:t>, tulemus</w:t>
      </w:r>
      <w:r w:rsidR="00002F6B" w:rsidRPr="009716CD">
        <w:t>t</w:t>
      </w:r>
      <w:r w:rsidRPr="009716CD">
        <w:t>, eelarvet, näitajaid</w:t>
      </w:r>
      <w:r w:rsidR="00B93775" w:rsidRPr="009716CD">
        <w:t xml:space="preserve"> või</w:t>
      </w:r>
      <w:r w:rsidR="00CB11CB" w:rsidRPr="009716CD">
        <w:t xml:space="preserve"> </w:t>
      </w:r>
      <w:r w:rsidRPr="009716CD">
        <w:t>abikõlblikkuse perioodi</w:t>
      </w:r>
      <w:r w:rsidR="00B93775" w:rsidRPr="009716CD">
        <w:t xml:space="preserve"> muuta</w:t>
      </w:r>
      <w:r w:rsidR="007E4A9A" w:rsidRPr="009716CD">
        <w:t>, rakendusüksus on teinud finantskorrektsiooni otsuse</w:t>
      </w:r>
      <w:r w:rsidR="00CB11CB" w:rsidRPr="009716CD">
        <w:t xml:space="preserve"> või ilmneb muid asjaolusid, mis mõjuta</w:t>
      </w:r>
      <w:r w:rsidR="00C0787C" w:rsidRPr="009716CD">
        <w:t>vad</w:t>
      </w:r>
      <w:r w:rsidR="00CB11CB" w:rsidRPr="009716CD">
        <w:t xml:space="preserve"> toetatava tegevuse elluviimist</w:t>
      </w:r>
      <w:r w:rsidRPr="009716CD">
        <w:t xml:space="preserve">, esitab elluviija </w:t>
      </w:r>
      <w:r w:rsidR="00B543E6" w:rsidRPr="009716CD">
        <w:t>rakendusasutusele</w:t>
      </w:r>
      <w:r w:rsidRPr="009716CD">
        <w:t xml:space="preserve"> </w:t>
      </w:r>
      <w:proofErr w:type="spellStart"/>
      <w:r w:rsidR="00C0787C" w:rsidRPr="009716CD">
        <w:t>TAT-i</w:t>
      </w:r>
      <w:proofErr w:type="spellEnd"/>
      <w:r w:rsidRPr="009716CD">
        <w:t xml:space="preserve"> </w:t>
      </w:r>
      <w:r w:rsidR="00B543E6" w:rsidRPr="009716CD">
        <w:t xml:space="preserve">muutmise </w:t>
      </w:r>
      <w:r w:rsidRPr="009716CD">
        <w:t>taotluse kirjalikku taasesitamist võimaldavas vormis.</w:t>
      </w:r>
    </w:p>
    <w:p w14:paraId="3C3D6F39" w14:textId="5D2A5692" w:rsidR="009D00ED" w:rsidRPr="009716CD" w:rsidRDefault="00B543E6" w:rsidP="00173DCD">
      <w:pPr>
        <w:pStyle w:val="Pealkiri2"/>
      </w:pPr>
      <w:r w:rsidRPr="009716CD">
        <w:t xml:space="preserve">Rakendusasutus </w:t>
      </w:r>
      <w:r w:rsidR="009D00ED" w:rsidRPr="009716CD">
        <w:t xml:space="preserve">vaatab punktis 12.1 nimetatud taotluse läbi 25 tööpäeva jooksul taotluse kättesaamisest arvates ja teeb otsuse </w:t>
      </w:r>
      <w:proofErr w:type="spellStart"/>
      <w:r w:rsidR="009D00ED" w:rsidRPr="009716CD">
        <w:t>TAT-i</w:t>
      </w:r>
      <w:proofErr w:type="spellEnd"/>
      <w:r w:rsidR="009D00ED" w:rsidRPr="009716CD">
        <w:t xml:space="preserve"> muutmise algatamise </w:t>
      </w:r>
      <w:r w:rsidR="0008755F" w:rsidRPr="009716CD">
        <w:t>või algatam</w:t>
      </w:r>
      <w:r w:rsidR="00B93775" w:rsidRPr="009716CD">
        <w:t>ata jätmise</w:t>
      </w:r>
      <w:r w:rsidR="0008755F" w:rsidRPr="009716CD">
        <w:t xml:space="preserve"> </w:t>
      </w:r>
      <w:r w:rsidR="009D00ED" w:rsidRPr="009716CD">
        <w:t xml:space="preserve">kohta pärast punktis 12.4 nimetatud </w:t>
      </w:r>
      <w:r w:rsidRPr="009716CD">
        <w:t>rakendusüksuse</w:t>
      </w:r>
      <w:r w:rsidR="009D00ED" w:rsidRPr="009716CD">
        <w:t xml:space="preserve"> ettepaneku saamist. </w:t>
      </w:r>
    </w:p>
    <w:p w14:paraId="1BE0B1B4" w14:textId="30D545FE" w:rsidR="009D00ED" w:rsidRPr="009716CD" w:rsidRDefault="009D00ED" w:rsidP="00173DCD">
      <w:pPr>
        <w:pStyle w:val="Pealkiri2"/>
      </w:pPr>
      <w:r w:rsidRPr="009716CD">
        <w:t xml:space="preserve">Puuduste esinemisel annab </w:t>
      </w:r>
      <w:r w:rsidR="00B543E6" w:rsidRPr="009716CD">
        <w:t>rakendusasutus</w:t>
      </w:r>
      <w:r w:rsidRPr="009716CD">
        <w:t xml:space="preserve"> elluviijale tähtaja puuduste kõrvaldamiseks. Taotluse menetlemise tähtaeg</w:t>
      </w:r>
      <w:r w:rsidR="00F97983" w:rsidRPr="009716CD">
        <w:t xml:space="preserve"> peatub </w:t>
      </w:r>
      <w:r w:rsidRPr="009716CD">
        <w:t>puuduste kõrvaldamiseks ettenähtud tähtaja võrra.</w:t>
      </w:r>
    </w:p>
    <w:p w14:paraId="160E119F" w14:textId="79A8FABD" w:rsidR="009D00ED" w:rsidRPr="009716CD" w:rsidRDefault="009D00ED" w:rsidP="00173DCD">
      <w:pPr>
        <w:pStyle w:val="Pealkiri2"/>
      </w:pPr>
      <w:r w:rsidRPr="009716CD">
        <w:t>R</w:t>
      </w:r>
      <w:r w:rsidR="00B543E6" w:rsidRPr="009716CD">
        <w:t>akendusasutus</w:t>
      </w:r>
      <w:r w:rsidRPr="009716CD">
        <w:t xml:space="preserve"> edastab muutmise taotluse pärast selle läbivaatamist </w:t>
      </w:r>
      <w:r w:rsidR="00B543E6" w:rsidRPr="009716CD">
        <w:t>rakendusüksusele</w:t>
      </w:r>
      <w:r w:rsidRPr="009716CD">
        <w:t xml:space="preserve"> seisukoha saamiseks. </w:t>
      </w:r>
      <w:r w:rsidR="00B543E6" w:rsidRPr="009716CD">
        <w:t>Rakendusüksusel</w:t>
      </w:r>
      <w:r w:rsidRPr="009716CD">
        <w:t xml:space="preserve"> on õigus esitada muudatuste kohta ettepanekuid. R</w:t>
      </w:r>
      <w:r w:rsidR="00B543E6" w:rsidRPr="009716CD">
        <w:t>akendusasutus</w:t>
      </w:r>
      <w:r w:rsidRPr="009716CD">
        <w:t xml:space="preserve"> lepib </w:t>
      </w:r>
      <w:r w:rsidR="00B543E6" w:rsidRPr="009716CD">
        <w:t>rakendusüksusega</w:t>
      </w:r>
      <w:r w:rsidRPr="009716CD">
        <w:t xml:space="preserve"> kokku muudatusettepanekute esitamise tähtaja, mille seadmisel lähtutakse muudatuste sisust ja ulatusest.</w:t>
      </w:r>
    </w:p>
    <w:p w14:paraId="34C6C253" w14:textId="5BDD8388" w:rsidR="009D00ED" w:rsidRPr="009716CD" w:rsidRDefault="002B23BA" w:rsidP="00173DCD">
      <w:pPr>
        <w:pStyle w:val="Pealkiri2"/>
      </w:pPr>
      <w:r w:rsidRPr="009716CD">
        <w:t>Kehtetu</w:t>
      </w:r>
    </w:p>
    <w:p w14:paraId="4819C185" w14:textId="1D6250FB" w:rsidR="009D00ED" w:rsidRPr="009716CD" w:rsidRDefault="00B543E6" w:rsidP="00173DCD">
      <w:pPr>
        <w:pStyle w:val="Pealkiri2"/>
      </w:pPr>
      <w:r w:rsidRPr="009716CD">
        <w:t>Rakendusüksusel</w:t>
      </w:r>
      <w:r w:rsidR="009D00ED" w:rsidRPr="009716CD">
        <w:t xml:space="preserve"> on õigus taotleda </w:t>
      </w:r>
      <w:proofErr w:type="spellStart"/>
      <w:r w:rsidR="009D00ED" w:rsidRPr="009716CD">
        <w:t>TAT-i</w:t>
      </w:r>
      <w:proofErr w:type="spellEnd"/>
      <w:r w:rsidR="009D00ED" w:rsidRPr="009716CD">
        <w:t xml:space="preserve"> muutmist, kui </w:t>
      </w:r>
      <w:r w:rsidR="00A466D6" w:rsidRPr="009716CD">
        <w:t>seire</w:t>
      </w:r>
      <w:r w:rsidR="009D00ED" w:rsidRPr="009716CD">
        <w:t xml:space="preserve">aruannetest või muudest objektiivsetest asjaoludest selgub, et muudatuste tegemine on vajalik toetatava tegevuse edukaks </w:t>
      </w:r>
      <w:r w:rsidR="002C073A" w:rsidRPr="009716CD">
        <w:t>elluviimiseks</w:t>
      </w:r>
      <w:r w:rsidR="009D00ED" w:rsidRPr="009716CD">
        <w:t xml:space="preserve"> või </w:t>
      </w:r>
      <w:r w:rsidRPr="009716CD">
        <w:t>tulemus</w:t>
      </w:r>
      <w:r w:rsidR="00002F6B" w:rsidRPr="009716CD">
        <w:t>e</w:t>
      </w:r>
      <w:r w:rsidR="009D00ED" w:rsidRPr="009716CD">
        <w:t xml:space="preserve"> saavutamiseks. Selleks esitab </w:t>
      </w:r>
      <w:r w:rsidRPr="009716CD">
        <w:t>rakendusüksus</w:t>
      </w:r>
      <w:r w:rsidR="009D00ED" w:rsidRPr="009716CD">
        <w:t xml:space="preserve"> </w:t>
      </w:r>
      <w:r w:rsidRPr="009716CD">
        <w:t>rakendusasutusele</w:t>
      </w:r>
      <w:r w:rsidR="009D00ED" w:rsidRPr="009716CD">
        <w:t xml:space="preserve"> muutmise taotluse ning teavitab sellest elluviijat. R</w:t>
      </w:r>
      <w:r w:rsidRPr="009716CD">
        <w:t>akendusasutus</w:t>
      </w:r>
      <w:r w:rsidR="009D00ED" w:rsidRPr="009716CD">
        <w:t xml:space="preserve"> vaatab taotluse läbi 25 tööpäeva jooksul </w:t>
      </w:r>
      <w:r w:rsidR="000D3BEB" w:rsidRPr="009716CD">
        <w:t xml:space="preserve">muutmise </w:t>
      </w:r>
      <w:r w:rsidR="009D00ED" w:rsidRPr="009716CD">
        <w:t xml:space="preserve">taotluse saamisest arvates ja teeb otsuse </w:t>
      </w:r>
      <w:proofErr w:type="spellStart"/>
      <w:r w:rsidR="009D00ED" w:rsidRPr="009716CD">
        <w:t>TAT-i</w:t>
      </w:r>
      <w:proofErr w:type="spellEnd"/>
      <w:r w:rsidR="009D00ED" w:rsidRPr="009716CD">
        <w:t xml:space="preserve"> muutmise </w:t>
      </w:r>
      <w:r w:rsidR="0008755F" w:rsidRPr="009716CD">
        <w:t xml:space="preserve">või </w:t>
      </w:r>
      <w:r w:rsidR="002C073A" w:rsidRPr="009716CD">
        <w:t>algatamata jätmise kohta</w:t>
      </w:r>
      <w:r w:rsidR="009D00ED" w:rsidRPr="009716CD">
        <w:t xml:space="preserve">. </w:t>
      </w:r>
    </w:p>
    <w:p w14:paraId="09AC108D" w14:textId="2B21554F" w:rsidR="00A3022A" w:rsidRPr="009716CD" w:rsidRDefault="00B543E6" w:rsidP="00173DCD">
      <w:pPr>
        <w:pStyle w:val="Pealkiri2"/>
      </w:pPr>
      <w:r w:rsidRPr="009716CD">
        <w:t>Rakendusasutusel</w:t>
      </w:r>
      <w:r w:rsidR="009D00ED" w:rsidRPr="009716CD">
        <w:t xml:space="preserve"> on õigus iseseisvalt algatada </w:t>
      </w:r>
      <w:proofErr w:type="spellStart"/>
      <w:r w:rsidR="009D00ED" w:rsidRPr="009716CD">
        <w:t>TAT-i</w:t>
      </w:r>
      <w:proofErr w:type="spellEnd"/>
      <w:r w:rsidR="009D00ED" w:rsidRPr="009716CD">
        <w:t xml:space="preserve"> muutmine, teavitades sellest </w:t>
      </w:r>
      <w:r w:rsidRPr="009716CD">
        <w:t xml:space="preserve">rakendusüksust </w:t>
      </w:r>
      <w:r w:rsidR="009D00ED" w:rsidRPr="009716CD">
        <w:t>ja elluviijat ette mõistliku aja jooksul. R</w:t>
      </w:r>
      <w:r w:rsidRPr="009716CD">
        <w:t>akendusasutus</w:t>
      </w:r>
      <w:r w:rsidR="009D00ED" w:rsidRPr="009716CD">
        <w:t xml:space="preserve"> algatab </w:t>
      </w:r>
      <w:proofErr w:type="spellStart"/>
      <w:r w:rsidR="009D00ED" w:rsidRPr="009716CD">
        <w:t>TAT-i</w:t>
      </w:r>
      <w:proofErr w:type="spellEnd"/>
      <w:r w:rsidR="009D00ED" w:rsidRPr="009716CD">
        <w:t xml:space="preserve"> muutmise, kui selgub, et muudatuste tegemine on vajalik toetatav</w:t>
      </w:r>
      <w:r w:rsidR="00002F6B" w:rsidRPr="009716CD">
        <w:t>a</w:t>
      </w:r>
      <w:r w:rsidR="009D00ED" w:rsidRPr="009716CD">
        <w:t xml:space="preserve"> tegevuse edukaks elluviimiseks või elluviijal ei ole </w:t>
      </w:r>
      <w:r w:rsidR="003730B2" w:rsidRPr="009716CD">
        <w:t xml:space="preserve">võimalik </w:t>
      </w:r>
      <w:r w:rsidR="009D00ED" w:rsidRPr="009716CD">
        <w:t xml:space="preserve">toetuse kasutamist ettenähtud tingimustel jätkata. </w:t>
      </w:r>
    </w:p>
    <w:p w14:paraId="7617921F" w14:textId="329405EE" w:rsidR="00A3022A" w:rsidRPr="009716CD" w:rsidRDefault="005A7BDA" w:rsidP="00173DCD">
      <w:pPr>
        <w:pStyle w:val="Pealkiri2"/>
      </w:pPr>
      <w:r w:rsidRPr="009716CD">
        <w:t>R</w:t>
      </w:r>
      <w:r w:rsidR="00B543E6" w:rsidRPr="009716CD">
        <w:t>akendusasutusel</w:t>
      </w:r>
      <w:r w:rsidRPr="009716CD">
        <w:t xml:space="preserve"> on õigus </w:t>
      </w:r>
      <w:r w:rsidR="00A466D6" w:rsidRPr="009716CD">
        <w:t>toetust suurendada ja vähendada</w:t>
      </w:r>
      <w:r w:rsidRPr="009716CD">
        <w:t>.</w:t>
      </w:r>
      <w:r w:rsidR="00A3022A" w:rsidRPr="009716CD">
        <w:t xml:space="preserve"> Toetuse summat võib suurendada </w:t>
      </w:r>
      <w:proofErr w:type="spellStart"/>
      <w:r w:rsidR="00A3022A" w:rsidRPr="009716CD">
        <w:t>ÜM</w:t>
      </w:r>
      <w:r w:rsidR="00DD0EE8" w:rsidRPr="009716CD">
        <w:t>-i</w:t>
      </w:r>
      <w:proofErr w:type="spellEnd"/>
      <w:r w:rsidR="00A3022A" w:rsidRPr="009716CD">
        <w:t xml:space="preserve"> § 13 lõikes 1 toodud tingimuste kohaselt.</w:t>
      </w:r>
    </w:p>
    <w:p w14:paraId="71304EE9" w14:textId="432FA743" w:rsidR="009D00ED" w:rsidRPr="009716CD" w:rsidRDefault="009D00ED" w:rsidP="00173DCD">
      <w:pPr>
        <w:pStyle w:val="Pealkiri2"/>
      </w:pPr>
      <w:r w:rsidRPr="009716CD">
        <w:t>R</w:t>
      </w:r>
      <w:r w:rsidR="00B543E6" w:rsidRPr="009716CD">
        <w:t>akendusasutus</w:t>
      </w:r>
      <w:r w:rsidRPr="009716CD">
        <w:t xml:space="preserve"> esitab </w:t>
      </w:r>
      <w:proofErr w:type="spellStart"/>
      <w:r w:rsidRPr="009716CD">
        <w:t>TAT-i</w:t>
      </w:r>
      <w:proofErr w:type="spellEnd"/>
      <w:r w:rsidRPr="009716CD">
        <w:t xml:space="preserve"> muutmise eelnõu </w:t>
      </w:r>
      <w:proofErr w:type="spellStart"/>
      <w:r w:rsidR="004C26BE" w:rsidRPr="009716CD">
        <w:t>ÜM</w:t>
      </w:r>
      <w:r w:rsidR="003730B2" w:rsidRPr="009716CD">
        <w:t>-i</w:t>
      </w:r>
      <w:proofErr w:type="spellEnd"/>
      <w:r w:rsidRPr="009716CD">
        <w:t xml:space="preserve"> § </w:t>
      </w:r>
      <w:r w:rsidR="004C26BE" w:rsidRPr="009716CD">
        <w:t>48</w:t>
      </w:r>
      <w:r w:rsidRPr="009716CD">
        <w:t xml:space="preserve"> lõi</w:t>
      </w:r>
      <w:r w:rsidR="001C3AB9" w:rsidRPr="009716CD">
        <w:t>gete</w:t>
      </w:r>
      <w:r w:rsidRPr="009716CD">
        <w:t xml:space="preserve"> </w:t>
      </w:r>
      <w:r w:rsidR="003730B2" w:rsidRPr="009716CD">
        <w:t xml:space="preserve">1–3 </w:t>
      </w:r>
      <w:r w:rsidRPr="009716CD">
        <w:t xml:space="preserve">kohasele kooskõlastamisele. </w:t>
      </w:r>
    </w:p>
    <w:p w14:paraId="0C5D1B89" w14:textId="2330B355" w:rsidR="009D00ED" w:rsidRPr="009716CD" w:rsidRDefault="009D00ED" w:rsidP="00173DCD">
      <w:pPr>
        <w:pStyle w:val="Pealkiri2"/>
      </w:pPr>
      <w:proofErr w:type="spellStart"/>
      <w:r w:rsidRPr="009716CD">
        <w:t>TAT-i</w:t>
      </w:r>
      <w:proofErr w:type="spellEnd"/>
      <w:r w:rsidRPr="009716CD">
        <w:t xml:space="preserve"> muutmiseks ei loeta punktis 9.</w:t>
      </w:r>
      <w:r w:rsidR="00A06BD5" w:rsidRPr="009716CD">
        <w:t>3</w:t>
      </w:r>
      <w:r w:rsidRPr="009716CD">
        <w:t xml:space="preserve">.1 nimetatud järgmise </w:t>
      </w:r>
      <w:r w:rsidR="00F97983" w:rsidRPr="009716CD">
        <w:t xml:space="preserve">aasta </w:t>
      </w:r>
      <w:r w:rsidRPr="009716CD">
        <w:t xml:space="preserve">tegevuskava ja eelarve kinnitamist ja muutmist juhul, kui tegevuskavas kavandatavad tegevused ja nende eelarve on kooskõlas </w:t>
      </w:r>
      <w:proofErr w:type="spellStart"/>
      <w:r w:rsidRPr="009716CD">
        <w:t>TAT-is</w:t>
      </w:r>
      <w:proofErr w:type="spellEnd"/>
      <w:r w:rsidRPr="009716CD">
        <w:t xml:space="preserve"> sätestatuga. </w:t>
      </w:r>
    </w:p>
    <w:p w14:paraId="136DB45E" w14:textId="6C26C9FB" w:rsidR="00CF4874" w:rsidRPr="009716CD" w:rsidRDefault="009E394C" w:rsidP="00173DCD">
      <w:pPr>
        <w:pStyle w:val="Pealkiri2"/>
      </w:pPr>
      <w:r w:rsidRPr="009716CD">
        <w:t>R</w:t>
      </w:r>
      <w:r w:rsidR="00B543E6" w:rsidRPr="009716CD">
        <w:t xml:space="preserve">akendusasutus </w:t>
      </w:r>
      <w:r w:rsidR="00B42A34" w:rsidRPr="009716CD">
        <w:t xml:space="preserve">edastab muudetud </w:t>
      </w:r>
      <w:proofErr w:type="spellStart"/>
      <w:r w:rsidRPr="009716CD">
        <w:t>TAT-i</w:t>
      </w:r>
      <w:proofErr w:type="spellEnd"/>
      <w:r w:rsidR="00B42A34" w:rsidRPr="009716CD">
        <w:t xml:space="preserve"> </w:t>
      </w:r>
      <w:r w:rsidR="00355FAA" w:rsidRPr="009716CD">
        <w:t>kümne</w:t>
      </w:r>
      <w:r w:rsidR="00B42A34" w:rsidRPr="009716CD">
        <w:t xml:space="preserve"> tööpäeva jooksul rakendusüksusele, elluviijale</w:t>
      </w:r>
      <w:r w:rsidR="0032399B" w:rsidRPr="009716CD">
        <w:t xml:space="preserve">, </w:t>
      </w:r>
      <w:r w:rsidR="00B42A34" w:rsidRPr="009716CD">
        <w:t>korraldusasutusele</w:t>
      </w:r>
      <w:r w:rsidR="0032399B" w:rsidRPr="009716CD">
        <w:t xml:space="preserve"> ja Rahandusministeeriumile</w:t>
      </w:r>
      <w:r w:rsidR="00B42A34" w:rsidRPr="009716CD">
        <w:t>.</w:t>
      </w:r>
    </w:p>
    <w:p w14:paraId="224C9078" w14:textId="77777777" w:rsidR="00622861" w:rsidRPr="009716CD" w:rsidRDefault="00622861" w:rsidP="00B52F78">
      <w:pPr>
        <w:pStyle w:val="Pealkiri1"/>
      </w:pPr>
      <w:r w:rsidRPr="009716CD">
        <w:t>Finantskorrektsiooni tegemise alused ja kord</w:t>
      </w:r>
    </w:p>
    <w:p w14:paraId="00709988" w14:textId="014C7382" w:rsidR="000B7354" w:rsidRPr="009716CD" w:rsidRDefault="000B7354" w:rsidP="00173DCD">
      <w:pPr>
        <w:pStyle w:val="Pealkiri2"/>
      </w:pPr>
      <w:r w:rsidRPr="009716CD">
        <w:t xml:space="preserve">Finantskorrektsiooni alused ja ulatus on sätestatud </w:t>
      </w:r>
      <w:proofErr w:type="spellStart"/>
      <w:r w:rsidR="00145A35" w:rsidRPr="009716CD">
        <w:t>ÜSS-i</w:t>
      </w:r>
      <w:proofErr w:type="spellEnd"/>
      <w:r w:rsidR="00145A35" w:rsidRPr="009716CD">
        <w:t xml:space="preserve"> §-s 28 ja </w:t>
      </w:r>
      <w:proofErr w:type="spellStart"/>
      <w:r w:rsidR="00145A35" w:rsidRPr="009716CD">
        <w:t>ÜM-i</w:t>
      </w:r>
      <w:proofErr w:type="spellEnd"/>
      <w:r w:rsidR="00145A35" w:rsidRPr="009716CD">
        <w:t xml:space="preserve"> §-des 34–36</w:t>
      </w:r>
      <w:r w:rsidRPr="009716CD">
        <w:t>.</w:t>
      </w:r>
    </w:p>
    <w:p w14:paraId="7ABEA6BB" w14:textId="2FC82FAE" w:rsidR="000B7354" w:rsidRPr="009716CD" w:rsidRDefault="00145A35" w:rsidP="00173DCD">
      <w:pPr>
        <w:pStyle w:val="Pealkiri2"/>
      </w:pPr>
      <w:r w:rsidRPr="009716CD">
        <w:t xml:space="preserve">Toetuse tagasimaksmine toimub </w:t>
      </w:r>
      <w:proofErr w:type="spellStart"/>
      <w:r w:rsidRPr="009716CD">
        <w:t>ÜSS-i</w:t>
      </w:r>
      <w:proofErr w:type="spellEnd"/>
      <w:r w:rsidRPr="009716CD">
        <w:t xml:space="preserve"> §-de 29 ja 30 ning </w:t>
      </w:r>
      <w:proofErr w:type="spellStart"/>
      <w:r w:rsidRPr="009716CD">
        <w:t>ÜM-i</w:t>
      </w:r>
      <w:proofErr w:type="spellEnd"/>
      <w:r w:rsidRPr="009716CD">
        <w:t xml:space="preserve"> §-de 37 ja 38 kohaselt</w:t>
      </w:r>
      <w:r w:rsidR="000B7354" w:rsidRPr="009716CD">
        <w:t>.</w:t>
      </w:r>
    </w:p>
    <w:p w14:paraId="7F0F5A34" w14:textId="279CFCB9" w:rsidR="000B7354" w:rsidRPr="009716CD" w:rsidRDefault="000B7354" w:rsidP="00173DCD">
      <w:pPr>
        <w:pStyle w:val="Pealkiri2"/>
      </w:pPr>
      <w:r w:rsidRPr="009716CD">
        <w:t xml:space="preserve">Abikõlbmatuks tunnistatud kulud jäävad elluviija kanda kooskõlas </w:t>
      </w:r>
      <w:proofErr w:type="spellStart"/>
      <w:r w:rsidR="00661021" w:rsidRPr="009716CD">
        <w:t>ÜM</w:t>
      </w:r>
      <w:r w:rsidR="00DD31E2" w:rsidRPr="009716CD">
        <w:t>-i</w:t>
      </w:r>
      <w:proofErr w:type="spellEnd"/>
      <w:r w:rsidR="00661021" w:rsidRPr="009716CD">
        <w:t xml:space="preserve"> § 37 lõikega 6</w:t>
      </w:r>
      <w:r w:rsidR="00AA6B89" w:rsidRPr="009716CD">
        <w:t>.</w:t>
      </w:r>
    </w:p>
    <w:p w14:paraId="486157B7" w14:textId="77777777" w:rsidR="000B7354" w:rsidRPr="009716CD" w:rsidRDefault="000B7354" w:rsidP="00173DCD">
      <w:pPr>
        <w:pStyle w:val="Pealkiri2"/>
      </w:pPr>
      <w:r w:rsidRPr="009716CD">
        <w:t xml:space="preserve">Kui rikkumise tulemusena tehakse finantskorrektsioon otseste kulude summast, tehakse finantskorrektsioon proportsionaalselt ka kaudsete kulude summast. </w:t>
      </w:r>
    </w:p>
    <w:p w14:paraId="691FEA34" w14:textId="5D250DFC" w:rsidR="0097571B" w:rsidRPr="009716CD" w:rsidRDefault="0097571B" w:rsidP="00B52F78">
      <w:pPr>
        <w:pStyle w:val="Pealkiri1"/>
      </w:pPr>
      <w:r w:rsidRPr="009716CD">
        <w:t>Vaiete lahendamine</w:t>
      </w:r>
    </w:p>
    <w:p w14:paraId="0AEFBA19" w14:textId="7E46486E" w:rsidR="004A1D66" w:rsidRPr="009716CD" w:rsidRDefault="00DD31E2" w:rsidP="00173DCD">
      <w:pPr>
        <w:pStyle w:val="Pealkiri2"/>
      </w:pPr>
      <w:r w:rsidRPr="009716CD">
        <w:t xml:space="preserve">Vaidemenetlus toimub </w:t>
      </w:r>
      <w:proofErr w:type="spellStart"/>
      <w:r w:rsidRPr="009716CD">
        <w:t>ÜSS-i</w:t>
      </w:r>
      <w:proofErr w:type="spellEnd"/>
      <w:r w:rsidRPr="009716CD">
        <w:t xml:space="preserve"> §-de 31 ja 32 kohaselt</w:t>
      </w:r>
      <w:r w:rsidR="004A1D66" w:rsidRPr="009716CD">
        <w:t xml:space="preserve">. </w:t>
      </w:r>
    </w:p>
    <w:p w14:paraId="29C3198A" w14:textId="754AC4E1" w:rsidR="004A1D66" w:rsidRPr="009716CD" w:rsidRDefault="004A1D66" w:rsidP="00173DCD">
      <w:pPr>
        <w:pStyle w:val="Pealkiri2"/>
      </w:pPr>
      <w:r w:rsidRPr="009716CD">
        <w:t xml:space="preserve">Kui vaie esitatakse rakendusüksuse otsuse või toimingu peale, lahendab vaide </w:t>
      </w:r>
      <w:r w:rsidR="00B94E59" w:rsidRPr="009716CD">
        <w:t>rakendus</w:t>
      </w:r>
      <w:r w:rsidR="0012045B" w:rsidRPr="009716CD">
        <w:t>üksus</w:t>
      </w:r>
      <w:r w:rsidR="00B94E59" w:rsidRPr="009716CD">
        <w:t>.</w:t>
      </w:r>
    </w:p>
    <w:p w14:paraId="426B3651" w14:textId="6F08CEFF" w:rsidR="00542EC8" w:rsidRPr="009716CD" w:rsidRDefault="00542EC8" w:rsidP="00542EC8">
      <w:pPr>
        <w:spacing w:after="0"/>
        <w:jc w:val="both"/>
      </w:pPr>
    </w:p>
    <w:p w14:paraId="3FFA0067" w14:textId="77777777" w:rsidR="00542EC8" w:rsidRPr="009716CD" w:rsidRDefault="00542EC8" w:rsidP="00173DCD">
      <w:pPr>
        <w:spacing w:after="0"/>
        <w:jc w:val="both"/>
      </w:pPr>
    </w:p>
    <w:p w14:paraId="4C482930" w14:textId="20950D02" w:rsidR="00780B56" w:rsidRPr="009716CD" w:rsidRDefault="00780B56" w:rsidP="00173DCD">
      <w:pPr>
        <w:tabs>
          <w:tab w:val="left" w:pos="993"/>
        </w:tabs>
        <w:spacing w:after="0"/>
        <w:jc w:val="both"/>
      </w:pPr>
      <w:r w:rsidRPr="009716CD">
        <w:t>Lisa 1</w:t>
      </w:r>
      <w:r w:rsidRPr="009716CD">
        <w:tab/>
        <w:t xml:space="preserve">Toetatava tegevuse </w:t>
      </w:r>
      <w:r w:rsidR="00234A12" w:rsidRPr="009716CD">
        <w:t>tegevuskava vorm</w:t>
      </w:r>
    </w:p>
    <w:p w14:paraId="0760FF6A" w14:textId="007814F4" w:rsidR="00780B56" w:rsidRPr="009716CD" w:rsidRDefault="00780B56" w:rsidP="00173DCD">
      <w:pPr>
        <w:tabs>
          <w:tab w:val="left" w:pos="993"/>
        </w:tabs>
        <w:spacing w:after="0"/>
        <w:jc w:val="both"/>
      </w:pPr>
      <w:r w:rsidRPr="009716CD">
        <w:t>Lisa 2</w:t>
      </w:r>
      <w:r w:rsidRPr="009716CD">
        <w:tab/>
        <w:t xml:space="preserve">Toetatava tegevuse </w:t>
      </w:r>
      <w:r w:rsidR="00234A12" w:rsidRPr="009716CD">
        <w:t>eelarve kulukohtade kaupa vorm</w:t>
      </w:r>
    </w:p>
    <w:p w14:paraId="2F334B58" w14:textId="77777777" w:rsidR="00780B56" w:rsidRPr="009716CD" w:rsidRDefault="00780B56" w:rsidP="00173DCD">
      <w:pPr>
        <w:tabs>
          <w:tab w:val="left" w:pos="993"/>
        </w:tabs>
        <w:spacing w:after="0"/>
        <w:jc w:val="both"/>
      </w:pPr>
      <w:r w:rsidRPr="009716CD">
        <w:t>Lisa 3</w:t>
      </w:r>
      <w:r w:rsidRPr="009716CD">
        <w:tab/>
        <w:t>Seirearuande vorm</w:t>
      </w:r>
    </w:p>
    <w:p w14:paraId="5DDE2D88" w14:textId="1FC9EC23" w:rsidR="00780B56" w:rsidRPr="009716CD" w:rsidRDefault="00780B56" w:rsidP="00173DCD">
      <w:pPr>
        <w:tabs>
          <w:tab w:val="left" w:pos="993"/>
        </w:tabs>
        <w:spacing w:after="0"/>
        <w:jc w:val="both"/>
      </w:pPr>
      <w:r w:rsidRPr="009716CD">
        <w:t>Lisa 4</w:t>
      </w:r>
      <w:r w:rsidRPr="009716CD">
        <w:tab/>
      </w:r>
      <w:r w:rsidR="00234A12" w:rsidRPr="009716CD">
        <w:t>Toetatava tegevuse eelarve täitmine kulukohtade kaupa vorm</w:t>
      </w:r>
    </w:p>
    <w:p w14:paraId="34966962" w14:textId="2A66AB0D" w:rsidR="004E7686" w:rsidRPr="009716CD" w:rsidRDefault="00780B56" w:rsidP="00173DCD">
      <w:pPr>
        <w:tabs>
          <w:tab w:val="left" w:pos="993"/>
        </w:tabs>
        <w:spacing w:after="0"/>
        <w:jc w:val="both"/>
      </w:pPr>
      <w:r w:rsidRPr="009716CD">
        <w:t>Lisa 5</w:t>
      </w:r>
      <w:r w:rsidRPr="009716CD">
        <w:tab/>
        <w:t>Toetatava tegevuse koguperioodi detailne eelarve</w:t>
      </w:r>
    </w:p>
    <w:p w14:paraId="3FBCE558" w14:textId="002D0D32" w:rsidR="001A1AC0" w:rsidRPr="009716CD" w:rsidRDefault="001A1AC0" w:rsidP="00173DCD">
      <w:pPr>
        <w:tabs>
          <w:tab w:val="left" w:pos="993"/>
        </w:tabs>
        <w:spacing w:after="0"/>
        <w:jc w:val="both"/>
      </w:pPr>
      <w:r w:rsidRPr="009716CD">
        <w:t xml:space="preserve">Lisa 6 </w:t>
      </w:r>
      <w:r w:rsidRPr="009716CD">
        <w:tab/>
        <w:t>Horisontaalsete põhimõtetega arvestamine</w:t>
      </w:r>
    </w:p>
    <w:p w14:paraId="5B5FF0C8" w14:textId="3E4557EC" w:rsidR="001A1AC0" w:rsidRPr="00DB1749" w:rsidRDefault="001A1AC0" w:rsidP="00173DCD">
      <w:pPr>
        <w:tabs>
          <w:tab w:val="left" w:pos="993"/>
        </w:tabs>
        <w:spacing w:after="0"/>
        <w:jc w:val="both"/>
      </w:pPr>
      <w:r w:rsidRPr="009716CD">
        <w:t xml:space="preserve">Lisa 7 </w:t>
      </w:r>
      <w:r w:rsidRPr="009716CD">
        <w:tab/>
        <w:t xml:space="preserve">Põhiõiguste harta ja </w:t>
      </w:r>
      <w:r w:rsidR="000965BF" w:rsidRPr="009716CD">
        <w:t>p</w:t>
      </w:r>
      <w:r w:rsidRPr="009716CD">
        <w:t xml:space="preserve">uuetega </w:t>
      </w:r>
      <w:r w:rsidR="000965BF" w:rsidRPr="009716CD">
        <w:t>i</w:t>
      </w:r>
      <w:r w:rsidRPr="009716CD">
        <w:t xml:space="preserve">nimeste </w:t>
      </w:r>
      <w:r w:rsidR="000965BF" w:rsidRPr="009716CD">
        <w:t>õiguste k</w:t>
      </w:r>
      <w:r w:rsidRPr="009716CD">
        <w:t>onventsiooni kontroll-leht</w:t>
      </w:r>
    </w:p>
    <w:sectPr w:rsidR="001A1AC0" w:rsidRPr="00DB174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C8C48" w14:textId="77777777" w:rsidR="00497BC5" w:rsidRDefault="00497BC5" w:rsidP="0092670B">
      <w:pPr>
        <w:spacing w:after="0" w:line="240" w:lineRule="auto"/>
      </w:pPr>
      <w:r>
        <w:separator/>
      </w:r>
    </w:p>
  </w:endnote>
  <w:endnote w:type="continuationSeparator" w:id="0">
    <w:p w14:paraId="6230B515" w14:textId="77777777" w:rsidR="00497BC5" w:rsidRDefault="00497BC5" w:rsidP="00926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577740"/>
      <w:docPartObj>
        <w:docPartGallery w:val="Page Numbers (Bottom of Page)"/>
        <w:docPartUnique/>
      </w:docPartObj>
    </w:sdtPr>
    <w:sdtContent>
      <w:p w14:paraId="52BBD4F8" w14:textId="3937E60D" w:rsidR="00D76835" w:rsidRDefault="00D76835">
        <w:pPr>
          <w:pStyle w:val="Jalus"/>
          <w:jc w:val="center"/>
        </w:pPr>
        <w:r>
          <w:fldChar w:fldCharType="begin"/>
        </w:r>
        <w:r>
          <w:instrText>PAGE   \* MERGEFORMAT</w:instrText>
        </w:r>
        <w:r>
          <w:fldChar w:fldCharType="separate"/>
        </w:r>
        <w:r w:rsidR="000A0951">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AE8C1" w14:textId="77777777" w:rsidR="00497BC5" w:rsidRDefault="00497BC5" w:rsidP="0092670B">
      <w:pPr>
        <w:spacing w:after="0" w:line="240" w:lineRule="auto"/>
      </w:pPr>
      <w:r>
        <w:separator/>
      </w:r>
    </w:p>
  </w:footnote>
  <w:footnote w:type="continuationSeparator" w:id="0">
    <w:p w14:paraId="759CD1A0" w14:textId="77777777" w:rsidR="00497BC5" w:rsidRDefault="00497BC5" w:rsidP="0092670B">
      <w:pPr>
        <w:spacing w:after="0" w:line="240" w:lineRule="auto"/>
      </w:pPr>
      <w:r>
        <w:continuationSeparator/>
      </w:r>
    </w:p>
  </w:footnote>
  <w:footnote w:id="1">
    <w:p w14:paraId="1137B6C2" w14:textId="61EB96CF" w:rsidR="00FE1AD3" w:rsidRPr="00EC0596" w:rsidRDefault="00FE1AD3">
      <w:pPr>
        <w:pStyle w:val="Allmrkusetekst"/>
      </w:pPr>
      <w:r>
        <w:rPr>
          <w:rStyle w:val="Allmrkuseviide"/>
        </w:rPr>
        <w:footnoteRef/>
      </w:r>
      <w:r>
        <w:t xml:space="preserve"> </w:t>
      </w:r>
      <w:r w:rsidRPr="00FE1AD3">
        <w:t xml:space="preserve">Eesti riigi pikaajaline arengustrateegia „Eesti 2035“ </w:t>
      </w:r>
      <w:r w:rsidR="00D00EA3">
        <w:t>(</w:t>
      </w:r>
      <w:hyperlink r:id="rId1" w:history="1">
        <w:r w:rsidR="00D00EA3" w:rsidRPr="00EC0596">
          <w:rPr>
            <w:rStyle w:val="Hperlink"/>
            <w:color w:val="auto"/>
          </w:rPr>
          <w:t>https://valitsus.ee/strateegia-eesti-2035-arengukavad-ja-planeering/strateegia</w:t>
        </w:r>
      </w:hyperlink>
      <w:r w:rsidR="00D00EA3" w:rsidRPr="00EC0596">
        <w:rPr>
          <w:rStyle w:val="Hperlink"/>
          <w:color w:val="auto"/>
          <w:u w:val="none"/>
        </w:rPr>
        <w:t>)</w:t>
      </w:r>
      <w:r w:rsidRPr="00EC0596">
        <w:t xml:space="preserve"> </w:t>
      </w:r>
    </w:p>
  </w:footnote>
  <w:footnote w:id="2">
    <w:p w14:paraId="7B419BAD" w14:textId="7315BE8D" w:rsidR="00FE1AD3" w:rsidRDefault="00FE1AD3">
      <w:pPr>
        <w:pStyle w:val="Allmrkusetekst"/>
      </w:pPr>
      <w:r w:rsidRPr="00EC0596">
        <w:rPr>
          <w:rStyle w:val="Allmrkuseviide"/>
        </w:rPr>
        <w:footnoteRef/>
      </w:r>
      <w:r w:rsidRPr="00EC0596">
        <w:t xml:space="preserve"> </w:t>
      </w:r>
      <w:r w:rsidRPr="00EC0596">
        <w:t>Sidusa Eesti arengukava 2021</w:t>
      </w:r>
      <w:r w:rsidR="00EC0596">
        <w:t>–</w:t>
      </w:r>
      <w:r w:rsidRPr="00EC0596">
        <w:t xml:space="preserve">2030 </w:t>
      </w:r>
      <w:r w:rsidR="00D00EA3" w:rsidRPr="00EC0596">
        <w:t>(</w:t>
      </w:r>
      <w:hyperlink r:id="rId2" w:history="1">
        <w:r w:rsidR="00D00EA3" w:rsidRPr="00EC0596">
          <w:rPr>
            <w:rStyle w:val="Hperlink"/>
            <w:color w:val="auto"/>
          </w:rPr>
          <w:t>https://www.kul.ee/siduseesti2030</w:t>
        </w:r>
      </w:hyperlink>
      <w:r w:rsidR="00D00EA3" w:rsidRPr="006F2968">
        <w:rPr>
          <w:rStyle w:val="Hperlink"/>
          <w:color w:val="auto"/>
          <w:u w:val="none"/>
        </w:rPr>
        <w:t>)</w:t>
      </w:r>
      <w:r w:rsidRPr="006F2968">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944"/>
    <w:multiLevelType w:val="hybridMultilevel"/>
    <w:tmpl w:val="998655B8"/>
    <w:lvl w:ilvl="0" w:tplc="04250017">
      <w:start w:val="1"/>
      <w:numFmt w:val="lowerLetter"/>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01EB54FC"/>
    <w:multiLevelType w:val="hybridMultilevel"/>
    <w:tmpl w:val="1778A6D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0F957BAC"/>
    <w:multiLevelType w:val="hybridMultilevel"/>
    <w:tmpl w:val="9C98F528"/>
    <w:lvl w:ilvl="0" w:tplc="04250017">
      <w:start w:val="1"/>
      <w:numFmt w:val="lowerLetter"/>
      <w:lvlText w:val="%1)"/>
      <w:lvlJc w:val="left"/>
      <w:pPr>
        <w:ind w:left="1713" w:hanging="360"/>
      </w:pPr>
    </w:lvl>
    <w:lvl w:ilvl="1" w:tplc="04250019" w:tentative="1">
      <w:start w:val="1"/>
      <w:numFmt w:val="lowerLetter"/>
      <w:lvlText w:val="%2."/>
      <w:lvlJc w:val="left"/>
      <w:pPr>
        <w:ind w:left="2433" w:hanging="360"/>
      </w:pPr>
    </w:lvl>
    <w:lvl w:ilvl="2" w:tplc="0425001B" w:tentative="1">
      <w:start w:val="1"/>
      <w:numFmt w:val="lowerRoman"/>
      <w:lvlText w:val="%3."/>
      <w:lvlJc w:val="right"/>
      <w:pPr>
        <w:ind w:left="3153" w:hanging="180"/>
      </w:pPr>
    </w:lvl>
    <w:lvl w:ilvl="3" w:tplc="0425000F" w:tentative="1">
      <w:start w:val="1"/>
      <w:numFmt w:val="decimal"/>
      <w:lvlText w:val="%4."/>
      <w:lvlJc w:val="left"/>
      <w:pPr>
        <w:ind w:left="3873" w:hanging="360"/>
      </w:pPr>
    </w:lvl>
    <w:lvl w:ilvl="4" w:tplc="04250019" w:tentative="1">
      <w:start w:val="1"/>
      <w:numFmt w:val="lowerLetter"/>
      <w:lvlText w:val="%5."/>
      <w:lvlJc w:val="left"/>
      <w:pPr>
        <w:ind w:left="4593" w:hanging="360"/>
      </w:pPr>
    </w:lvl>
    <w:lvl w:ilvl="5" w:tplc="0425001B" w:tentative="1">
      <w:start w:val="1"/>
      <w:numFmt w:val="lowerRoman"/>
      <w:lvlText w:val="%6."/>
      <w:lvlJc w:val="right"/>
      <w:pPr>
        <w:ind w:left="5313" w:hanging="180"/>
      </w:pPr>
    </w:lvl>
    <w:lvl w:ilvl="6" w:tplc="0425000F" w:tentative="1">
      <w:start w:val="1"/>
      <w:numFmt w:val="decimal"/>
      <w:lvlText w:val="%7."/>
      <w:lvlJc w:val="left"/>
      <w:pPr>
        <w:ind w:left="6033" w:hanging="360"/>
      </w:pPr>
    </w:lvl>
    <w:lvl w:ilvl="7" w:tplc="04250019" w:tentative="1">
      <w:start w:val="1"/>
      <w:numFmt w:val="lowerLetter"/>
      <w:lvlText w:val="%8."/>
      <w:lvlJc w:val="left"/>
      <w:pPr>
        <w:ind w:left="6753" w:hanging="360"/>
      </w:pPr>
    </w:lvl>
    <w:lvl w:ilvl="8" w:tplc="0425001B" w:tentative="1">
      <w:start w:val="1"/>
      <w:numFmt w:val="lowerRoman"/>
      <w:lvlText w:val="%9."/>
      <w:lvlJc w:val="right"/>
      <w:pPr>
        <w:ind w:left="7473" w:hanging="180"/>
      </w:pPr>
    </w:lvl>
  </w:abstractNum>
  <w:abstractNum w:abstractNumId="3" w15:restartNumberingAfterBreak="0">
    <w:nsid w:val="1611519F"/>
    <w:multiLevelType w:val="multilevel"/>
    <w:tmpl w:val="30CA23A6"/>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720" w:hanging="360"/>
      </w:pPr>
      <w:rPr>
        <w:rFonts w:hint="default"/>
        <w:i w:val="0"/>
        <w:color w:val="auto"/>
      </w:rPr>
    </w:lvl>
    <w:lvl w:ilvl="2">
      <w:start w:val="7"/>
      <w:numFmt w:val="decimal"/>
      <w:isLgl/>
      <w:lvlText w:val="%1.%2.%3"/>
      <w:lvlJc w:val="left"/>
      <w:pPr>
        <w:ind w:left="1855" w:hanging="720"/>
      </w:pPr>
      <w:rPr>
        <w:rFonts w:hint="default"/>
        <w:color w:val="auto"/>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7BB1006"/>
    <w:multiLevelType w:val="hybridMultilevel"/>
    <w:tmpl w:val="A350C948"/>
    <w:lvl w:ilvl="0" w:tplc="A734083E">
      <w:start w:val="2020"/>
      <w:numFmt w:val="bullet"/>
      <w:lvlText w:val="-"/>
      <w:lvlJc w:val="left"/>
      <w:pPr>
        <w:ind w:left="1080" w:hanging="360"/>
      </w:pPr>
      <w:rPr>
        <w:rFonts w:ascii="Calibri" w:eastAsiaTheme="minorHAnsi" w:hAnsi="Calibri" w:cs="Calibri" w:hint="default"/>
        <w:b w:val="0"/>
        <w:color w:val="000000"/>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5" w15:restartNumberingAfterBreak="0">
    <w:nsid w:val="18DE2B88"/>
    <w:multiLevelType w:val="hybridMultilevel"/>
    <w:tmpl w:val="59B020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4F02741"/>
    <w:multiLevelType w:val="multilevel"/>
    <w:tmpl w:val="970414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A1E5DDE"/>
    <w:multiLevelType w:val="multilevel"/>
    <w:tmpl w:val="9454F92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B1F48D9"/>
    <w:multiLevelType w:val="hybridMultilevel"/>
    <w:tmpl w:val="EE1AF410"/>
    <w:lvl w:ilvl="0" w:tplc="7AC41EB8">
      <w:start w:val="1"/>
      <w:numFmt w:val="decimal"/>
      <w:lvlText w:val="Tabel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2352552"/>
    <w:multiLevelType w:val="hybridMultilevel"/>
    <w:tmpl w:val="C3A29108"/>
    <w:lvl w:ilvl="0" w:tplc="04250017">
      <w:start w:val="1"/>
      <w:numFmt w:val="lowerLetter"/>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17">
      <w:start w:val="1"/>
      <w:numFmt w:val="lowerLetter"/>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0" w15:restartNumberingAfterBreak="0">
    <w:nsid w:val="45447504"/>
    <w:multiLevelType w:val="multilevel"/>
    <w:tmpl w:val="74229C82"/>
    <w:lvl w:ilvl="0">
      <w:start w:val="1"/>
      <w:numFmt w:val="decimal"/>
      <w:pStyle w:val="Pealkiri1"/>
      <w:lvlText w:val="%1"/>
      <w:lvlJc w:val="left"/>
      <w:pPr>
        <w:ind w:left="432" w:hanging="432"/>
      </w:pPr>
      <w:rPr>
        <w:rFonts w:hint="default"/>
      </w:rPr>
    </w:lvl>
    <w:lvl w:ilvl="1">
      <w:start w:val="1"/>
      <w:numFmt w:val="decimal"/>
      <w:pStyle w:val="Pealkiri2"/>
      <w:lvlText w:val="%1.%2"/>
      <w:lvlJc w:val="left"/>
      <w:pPr>
        <w:ind w:left="576" w:hanging="576"/>
      </w:pPr>
      <w:rPr>
        <w:rFonts w:hint="default"/>
      </w:rPr>
    </w:lvl>
    <w:lvl w:ilvl="2">
      <w:start w:val="1"/>
      <w:numFmt w:val="decimal"/>
      <w:pStyle w:val="Pealkiri3"/>
      <w:lvlText w:val="%1.%2.%3"/>
      <w:lvlJc w:val="left"/>
      <w:pPr>
        <w:ind w:left="720" w:hanging="720"/>
      </w:pPr>
      <w:rPr>
        <w:rFonts w:hint="default"/>
      </w:rPr>
    </w:lvl>
    <w:lvl w:ilvl="3">
      <w:start w:val="1"/>
      <w:numFmt w:val="decimal"/>
      <w:pStyle w:val="Pealkiri4"/>
      <w:lvlText w:val="%1.%2.%3.%4"/>
      <w:lvlJc w:val="left"/>
      <w:pPr>
        <w:ind w:left="1857" w:hanging="864"/>
      </w:pPr>
      <w:rPr>
        <w:rFonts w:hint="default"/>
        <w:b w:val="0"/>
        <w:bCs w:val="0"/>
      </w:rPr>
    </w:lvl>
    <w:lvl w:ilvl="4">
      <w:start w:val="1"/>
      <w:numFmt w:val="decimal"/>
      <w:pStyle w:val="Pealkiri5"/>
      <w:lvlText w:val="%1.%2.%3.%4.%5"/>
      <w:lvlJc w:val="left"/>
      <w:pPr>
        <w:ind w:left="1717" w:hanging="1008"/>
      </w:pPr>
      <w:rPr>
        <w:rFonts w:hint="default"/>
      </w:rPr>
    </w:lvl>
    <w:lvl w:ilvl="5">
      <w:start w:val="1"/>
      <w:numFmt w:val="decimal"/>
      <w:pStyle w:val="Pealkiri6"/>
      <w:lvlText w:val="%1.%2.%3.%4.%5.%6"/>
      <w:lvlJc w:val="left"/>
      <w:pPr>
        <w:ind w:left="1152" w:hanging="1152"/>
      </w:pPr>
      <w:rPr>
        <w:rFonts w:hint="default"/>
      </w:rPr>
    </w:lvl>
    <w:lvl w:ilvl="6">
      <w:start w:val="1"/>
      <w:numFmt w:val="decimal"/>
      <w:pStyle w:val="Pealkiri7"/>
      <w:lvlText w:val="%1.%2.%3.%4.%5.%6.%7"/>
      <w:lvlJc w:val="left"/>
      <w:pPr>
        <w:ind w:left="1296" w:hanging="1296"/>
      </w:pPr>
      <w:rPr>
        <w:rFonts w:hint="default"/>
      </w:rPr>
    </w:lvl>
    <w:lvl w:ilvl="7">
      <w:start w:val="1"/>
      <w:numFmt w:val="decimal"/>
      <w:pStyle w:val="Pealkiri8"/>
      <w:lvlText w:val="%1.%2.%3.%4.%5.%6.%7.%8"/>
      <w:lvlJc w:val="left"/>
      <w:pPr>
        <w:ind w:left="1440" w:hanging="1440"/>
      </w:pPr>
      <w:rPr>
        <w:rFonts w:hint="default"/>
      </w:rPr>
    </w:lvl>
    <w:lvl w:ilvl="8">
      <w:start w:val="1"/>
      <w:numFmt w:val="decimal"/>
      <w:pStyle w:val="Pealkiri9"/>
      <w:lvlText w:val="%1.%2.%3.%4.%5.%6.%7.%8.%9"/>
      <w:lvlJc w:val="left"/>
      <w:pPr>
        <w:ind w:left="1584" w:hanging="1584"/>
      </w:pPr>
      <w:rPr>
        <w:rFonts w:hint="default"/>
      </w:rPr>
    </w:lvl>
  </w:abstractNum>
  <w:abstractNum w:abstractNumId="11" w15:restartNumberingAfterBreak="0">
    <w:nsid w:val="47BB25BF"/>
    <w:multiLevelType w:val="multilevel"/>
    <w:tmpl w:val="A0984FE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B8D2504"/>
    <w:multiLevelType w:val="multilevel"/>
    <w:tmpl w:val="A24A62E2"/>
    <w:lvl w:ilvl="0">
      <w:start w:val="1"/>
      <w:numFmt w:val="decimal"/>
      <w:lvlText w:val="%1"/>
      <w:lvlJc w:val="left"/>
      <w:pPr>
        <w:tabs>
          <w:tab w:val="num" w:pos="431"/>
        </w:tabs>
        <w:ind w:left="153" w:hanging="153"/>
      </w:pPr>
      <w:rPr>
        <w:rFonts w:cs="Times New Roman" w:hint="default"/>
        <w:b/>
        <w:i w:val="0"/>
        <w:color w:val="auto"/>
        <w:sz w:val="24"/>
        <w:szCs w:val="24"/>
      </w:rPr>
    </w:lvl>
    <w:lvl w:ilvl="1">
      <w:start w:val="1"/>
      <w:numFmt w:val="decimal"/>
      <w:lvlText w:val="%1.%2 "/>
      <w:lvlJc w:val="left"/>
      <w:pPr>
        <w:ind w:left="153" w:hanging="153"/>
      </w:pPr>
      <w:rPr>
        <w:rFonts w:cs="Times New Roman" w:hint="default"/>
        <w:b w:val="0"/>
        <w:i w:val="0"/>
      </w:rPr>
    </w:lvl>
    <w:lvl w:ilvl="2">
      <w:start w:val="1"/>
      <w:numFmt w:val="decimal"/>
      <w:lvlText w:val="%1.%2.%3 "/>
      <w:lvlJc w:val="left"/>
      <w:pPr>
        <w:tabs>
          <w:tab w:val="num" w:pos="0"/>
        </w:tabs>
        <w:ind w:left="153" w:hanging="153"/>
      </w:pPr>
      <w:rPr>
        <w:rFonts w:cs="Times New Roman" w:hint="default"/>
        <w:b w:val="0"/>
        <w:i w:val="0"/>
      </w:rPr>
    </w:lvl>
    <w:lvl w:ilvl="3">
      <w:start w:val="1"/>
      <w:numFmt w:val="decimal"/>
      <w:lvlText w:val="%1.%2.%3.%4"/>
      <w:lvlJc w:val="left"/>
      <w:pPr>
        <w:ind w:left="153" w:hanging="153"/>
      </w:pPr>
      <w:rPr>
        <w:rFonts w:cs="Times New Roman" w:hint="default"/>
        <w:b w:val="0"/>
        <w:i w:val="0"/>
        <w:color w:val="auto"/>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3" w15:restartNumberingAfterBreak="0">
    <w:nsid w:val="54904EB4"/>
    <w:multiLevelType w:val="multilevel"/>
    <w:tmpl w:val="A0984FE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8656DAE"/>
    <w:multiLevelType w:val="multilevel"/>
    <w:tmpl w:val="A0984FE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EA50765"/>
    <w:multiLevelType w:val="hybridMultilevel"/>
    <w:tmpl w:val="1CF430BE"/>
    <w:lvl w:ilvl="0" w:tplc="1F4AC6E6">
      <w:start w:val="1"/>
      <w:numFmt w:val="decimal"/>
      <w:lvlText w:val="%1)"/>
      <w:lvlJc w:val="left"/>
      <w:pPr>
        <w:ind w:left="360" w:hanging="360"/>
      </w:pPr>
      <w:rPr>
        <w:rFonts w:ascii="Calibri" w:hAnsi="Calibri" w:cs="Calibri"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B426F5B"/>
    <w:multiLevelType w:val="multilevel"/>
    <w:tmpl w:val="2B7A70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79924404">
    <w:abstractNumId w:val="12"/>
  </w:num>
  <w:num w:numId="2" w16cid:durableId="1668635583">
    <w:abstractNumId w:val="12"/>
  </w:num>
  <w:num w:numId="3" w16cid:durableId="456682478">
    <w:abstractNumId w:val="12"/>
  </w:num>
  <w:num w:numId="4" w16cid:durableId="256448266">
    <w:abstractNumId w:val="12"/>
  </w:num>
  <w:num w:numId="5" w16cid:durableId="1263149652">
    <w:abstractNumId w:val="12"/>
  </w:num>
  <w:num w:numId="6" w16cid:durableId="659818962">
    <w:abstractNumId w:val="16"/>
  </w:num>
  <w:num w:numId="7" w16cid:durableId="940794538">
    <w:abstractNumId w:val="12"/>
  </w:num>
  <w:num w:numId="8" w16cid:durableId="1578199713">
    <w:abstractNumId w:val="6"/>
  </w:num>
  <w:num w:numId="9" w16cid:durableId="1142692548">
    <w:abstractNumId w:val="11"/>
  </w:num>
  <w:num w:numId="10" w16cid:durableId="278025126">
    <w:abstractNumId w:val="7"/>
  </w:num>
  <w:num w:numId="11" w16cid:durableId="317274540">
    <w:abstractNumId w:val="0"/>
  </w:num>
  <w:num w:numId="12" w16cid:durableId="1976526303">
    <w:abstractNumId w:val="9"/>
  </w:num>
  <w:num w:numId="13" w16cid:durableId="1043941046">
    <w:abstractNumId w:val="8"/>
  </w:num>
  <w:num w:numId="14" w16cid:durableId="859440335">
    <w:abstractNumId w:val="1"/>
  </w:num>
  <w:num w:numId="15" w16cid:durableId="1576091775">
    <w:abstractNumId w:val="13"/>
  </w:num>
  <w:num w:numId="16" w16cid:durableId="1508985612">
    <w:abstractNumId w:val="14"/>
  </w:num>
  <w:num w:numId="17" w16cid:durableId="452216533">
    <w:abstractNumId w:val="12"/>
  </w:num>
  <w:num w:numId="18" w16cid:durableId="1387677768">
    <w:abstractNumId w:val="12"/>
  </w:num>
  <w:num w:numId="19" w16cid:durableId="694428102">
    <w:abstractNumId w:val="12"/>
  </w:num>
  <w:num w:numId="20" w16cid:durableId="998575518">
    <w:abstractNumId w:val="12"/>
  </w:num>
  <w:num w:numId="21" w16cid:durableId="11807306">
    <w:abstractNumId w:val="12"/>
  </w:num>
  <w:num w:numId="22" w16cid:durableId="1914194125">
    <w:abstractNumId w:val="12"/>
  </w:num>
  <w:num w:numId="23" w16cid:durableId="1732192103">
    <w:abstractNumId w:val="12"/>
  </w:num>
  <w:num w:numId="24" w16cid:durableId="1346786506">
    <w:abstractNumId w:val="12"/>
  </w:num>
  <w:num w:numId="25" w16cid:durableId="743260552">
    <w:abstractNumId w:val="12"/>
  </w:num>
  <w:num w:numId="26" w16cid:durableId="905409472">
    <w:abstractNumId w:val="12"/>
  </w:num>
  <w:num w:numId="27" w16cid:durableId="877357138">
    <w:abstractNumId w:val="12"/>
  </w:num>
  <w:num w:numId="28" w16cid:durableId="741879081">
    <w:abstractNumId w:val="12"/>
  </w:num>
  <w:num w:numId="29" w16cid:durableId="1770542857">
    <w:abstractNumId w:val="10"/>
  </w:num>
  <w:num w:numId="30" w16cid:durableId="54941035">
    <w:abstractNumId w:val="10"/>
  </w:num>
  <w:num w:numId="31" w16cid:durableId="1588810344">
    <w:abstractNumId w:val="2"/>
  </w:num>
  <w:num w:numId="32" w16cid:durableId="495418035">
    <w:abstractNumId w:val="10"/>
  </w:num>
  <w:num w:numId="33" w16cid:durableId="366835566">
    <w:abstractNumId w:val="3"/>
  </w:num>
  <w:num w:numId="34" w16cid:durableId="4800030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748377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63557505">
    <w:abstractNumId w:val="5"/>
  </w:num>
  <w:num w:numId="37" w16cid:durableId="211624611">
    <w:abstractNumId w:val="4"/>
  </w:num>
  <w:num w:numId="38" w16cid:durableId="710571975">
    <w:abstractNumId w:val="15"/>
  </w:num>
  <w:num w:numId="39" w16cid:durableId="1336229339">
    <w:abstractNumId w:val="10"/>
  </w:num>
  <w:num w:numId="40" w16cid:durableId="1428304678">
    <w:abstractNumId w:val="10"/>
  </w:num>
  <w:num w:numId="41" w16cid:durableId="357463626">
    <w:abstractNumId w:val="10"/>
  </w:num>
  <w:num w:numId="42" w16cid:durableId="1733917563">
    <w:abstractNumId w:val="10"/>
    <w:lvlOverride w:ilvl="0">
      <w:startOverride w:val="3"/>
    </w:lvlOverride>
    <w:lvlOverride w:ilvl="1">
      <w:startOverride w:val="5"/>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79794831">
    <w:abstractNumId w:val="10"/>
    <w:lvlOverride w:ilvl="0">
      <w:startOverride w:val="3"/>
    </w:lvlOverride>
    <w:lvlOverride w:ilvl="1">
      <w:startOverride w:val="5"/>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04165130">
    <w:abstractNumId w:val="10"/>
    <w:lvlOverride w:ilvl="0">
      <w:startOverride w:val="3"/>
    </w:lvlOverride>
    <w:lvlOverride w:ilvl="1">
      <w:startOverride w:val="5"/>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710838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70B"/>
    <w:rsid w:val="0000187E"/>
    <w:rsid w:val="00002C15"/>
    <w:rsid w:val="00002F6B"/>
    <w:rsid w:val="00003AF0"/>
    <w:rsid w:val="0000488D"/>
    <w:rsid w:val="00004B78"/>
    <w:rsid w:val="00006DB7"/>
    <w:rsid w:val="00006EC7"/>
    <w:rsid w:val="00010DFD"/>
    <w:rsid w:val="00010F85"/>
    <w:rsid w:val="00012025"/>
    <w:rsid w:val="0001453E"/>
    <w:rsid w:val="0001470D"/>
    <w:rsid w:val="00014A59"/>
    <w:rsid w:val="0001508F"/>
    <w:rsid w:val="00015A68"/>
    <w:rsid w:val="0001603F"/>
    <w:rsid w:val="00016164"/>
    <w:rsid w:val="00016C6A"/>
    <w:rsid w:val="00017A7B"/>
    <w:rsid w:val="00017CCC"/>
    <w:rsid w:val="00024493"/>
    <w:rsid w:val="00024BD4"/>
    <w:rsid w:val="000256D2"/>
    <w:rsid w:val="000260BF"/>
    <w:rsid w:val="000311EC"/>
    <w:rsid w:val="000314EC"/>
    <w:rsid w:val="00032C75"/>
    <w:rsid w:val="000330CE"/>
    <w:rsid w:val="00034C4C"/>
    <w:rsid w:val="0003717B"/>
    <w:rsid w:val="0003740F"/>
    <w:rsid w:val="00040D81"/>
    <w:rsid w:val="00041CFC"/>
    <w:rsid w:val="00042E58"/>
    <w:rsid w:val="00042F41"/>
    <w:rsid w:val="000463A7"/>
    <w:rsid w:val="0004674A"/>
    <w:rsid w:val="000476DA"/>
    <w:rsid w:val="00047D86"/>
    <w:rsid w:val="00051A95"/>
    <w:rsid w:val="00052F0D"/>
    <w:rsid w:val="00054AEF"/>
    <w:rsid w:val="00057460"/>
    <w:rsid w:val="00061897"/>
    <w:rsid w:val="0006215E"/>
    <w:rsid w:val="00062559"/>
    <w:rsid w:val="000629FC"/>
    <w:rsid w:val="00063F2B"/>
    <w:rsid w:val="00064C8A"/>
    <w:rsid w:val="00065C80"/>
    <w:rsid w:val="00066A74"/>
    <w:rsid w:val="00070666"/>
    <w:rsid w:val="000708A7"/>
    <w:rsid w:val="00071C84"/>
    <w:rsid w:val="000741C4"/>
    <w:rsid w:val="00074BE8"/>
    <w:rsid w:val="00074D2C"/>
    <w:rsid w:val="000762D2"/>
    <w:rsid w:val="00081207"/>
    <w:rsid w:val="0008194B"/>
    <w:rsid w:val="000822EC"/>
    <w:rsid w:val="00082474"/>
    <w:rsid w:val="00084215"/>
    <w:rsid w:val="0008459D"/>
    <w:rsid w:val="0008554C"/>
    <w:rsid w:val="0008568F"/>
    <w:rsid w:val="0008755F"/>
    <w:rsid w:val="00091A85"/>
    <w:rsid w:val="000965BF"/>
    <w:rsid w:val="00096E19"/>
    <w:rsid w:val="000A0951"/>
    <w:rsid w:val="000A15F2"/>
    <w:rsid w:val="000A1D05"/>
    <w:rsid w:val="000A1EAA"/>
    <w:rsid w:val="000A3E4C"/>
    <w:rsid w:val="000A45AC"/>
    <w:rsid w:val="000A726E"/>
    <w:rsid w:val="000A74D5"/>
    <w:rsid w:val="000B0936"/>
    <w:rsid w:val="000B0C25"/>
    <w:rsid w:val="000B1473"/>
    <w:rsid w:val="000B1A43"/>
    <w:rsid w:val="000B2899"/>
    <w:rsid w:val="000B4E14"/>
    <w:rsid w:val="000B7354"/>
    <w:rsid w:val="000B797E"/>
    <w:rsid w:val="000B7EF1"/>
    <w:rsid w:val="000C0882"/>
    <w:rsid w:val="000C0CD2"/>
    <w:rsid w:val="000C0DA0"/>
    <w:rsid w:val="000C3493"/>
    <w:rsid w:val="000C3672"/>
    <w:rsid w:val="000C3E3D"/>
    <w:rsid w:val="000C47D5"/>
    <w:rsid w:val="000C4A32"/>
    <w:rsid w:val="000C7058"/>
    <w:rsid w:val="000D0AD0"/>
    <w:rsid w:val="000D0C4B"/>
    <w:rsid w:val="000D3733"/>
    <w:rsid w:val="000D3BEB"/>
    <w:rsid w:val="000D3E78"/>
    <w:rsid w:val="000D74DD"/>
    <w:rsid w:val="000E0DB7"/>
    <w:rsid w:val="000E18DF"/>
    <w:rsid w:val="000E2BA9"/>
    <w:rsid w:val="000E461C"/>
    <w:rsid w:val="000E4741"/>
    <w:rsid w:val="000E4CA8"/>
    <w:rsid w:val="000F05C6"/>
    <w:rsid w:val="000F0CF2"/>
    <w:rsid w:val="000F13FE"/>
    <w:rsid w:val="000F197D"/>
    <w:rsid w:val="000F1E85"/>
    <w:rsid w:val="000F2C28"/>
    <w:rsid w:val="000F36B3"/>
    <w:rsid w:val="000F3A4F"/>
    <w:rsid w:val="000F4F87"/>
    <w:rsid w:val="000F558D"/>
    <w:rsid w:val="000F5E2F"/>
    <w:rsid w:val="000F6C83"/>
    <w:rsid w:val="00100471"/>
    <w:rsid w:val="00100CE9"/>
    <w:rsid w:val="001023DC"/>
    <w:rsid w:val="001035B1"/>
    <w:rsid w:val="001073A3"/>
    <w:rsid w:val="001118DF"/>
    <w:rsid w:val="00111A00"/>
    <w:rsid w:val="00112005"/>
    <w:rsid w:val="00115B16"/>
    <w:rsid w:val="00116C4B"/>
    <w:rsid w:val="00117AD5"/>
    <w:rsid w:val="0012045B"/>
    <w:rsid w:val="00121E35"/>
    <w:rsid w:val="00123D5C"/>
    <w:rsid w:val="00124661"/>
    <w:rsid w:val="00127EBC"/>
    <w:rsid w:val="0013041B"/>
    <w:rsid w:val="00130688"/>
    <w:rsid w:val="0013086C"/>
    <w:rsid w:val="00130A33"/>
    <w:rsid w:val="0013269A"/>
    <w:rsid w:val="00132BFC"/>
    <w:rsid w:val="00134F4D"/>
    <w:rsid w:val="00135097"/>
    <w:rsid w:val="0013643D"/>
    <w:rsid w:val="001372F9"/>
    <w:rsid w:val="00137FD4"/>
    <w:rsid w:val="00140246"/>
    <w:rsid w:val="00140632"/>
    <w:rsid w:val="00143BF9"/>
    <w:rsid w:val="00144D27"/>
    <w:rsid w:val="00145507"/>
    <w:rsid w:val="00145A35"/>
    <w:rsid w:val="001465A2"/>
    <w:rsid w:val="0015121F"/>
    <w:rsid w:val="001529CA"/>
    <w:rsid w:val="00152B35"/>
    <w:rsid w:val="0015342E"/>
    <w:rsid w:val="00153F5E"/>
    <w:rsid w:val="00153F73"/>
    <w:rsid w:val="00157350"/>
    <w:rsid w:val="00162448"/>
    <w:rsid w:val="001630C3"/>
    <w:rsid w:val="0016437E"/>
    <w:rsid w:val="001657F9"/>
    <w:rsid w:val="00165DD1"/>
    <w:rsid w:val="00165E49"/>
    <w:rsid w:val="00166FB4"/>
    <w:rsid w:val="00167AF5"/>
    <w:rsid w:val="00172344"/>
    <w:rsid w:val="00173DCD"/>
    <w:rsid w:val="00175F96"/>
    <w:rsid w:val="00182ECF"/>
    <w:rsid w:val="0018621D"/>
    <w:rsid w:val="0018667D"/>
    <w:rsid w:val="0019009E"/>
    <w:rsid w:val="00193933"/>
    <w:rsid w:val="00193CAB"/>
    <w:rsid w:val="001940C7"/>
    <w:rsid w:val="00196C46"/>
    <w:rsid w:val="00196E26"/>
    <w:rsid w:val="00197F23"/>
    <w:rsid w:val="001A090F"/>
    <w:rsid w:val="001A1A38"/>
    <w:rsid w:val="001A1AC0"/>
    <w:rsid w:val="001A2808"/>
    <w:rsid w:val="001A2946"/>
    <w:rsid w:val="001A4F44"/>
    <w:rsid w:val="001A6C05"/>
    <w:rsid w:val="001A6F75"/>
    <w:rsid w:val="001A79EF"/>
    <w:rsid w:val="001B0081"/>
    <w:rsid w:val="001B01B2"/>
    <w:rsid w:val="001B1289"/>
    <w:rsid w:val="001B18F8"/>
    <w:rsid w:val="001B21DA"/>
    <w:rsid w:val="001B68C5"/>
    <w:rsid w:val="001B7744"/>
    <w:rsid w:val="001C09F4"/>
    <w:rsid w:val="001C3393"/>
    <w:rsid w:val="001C3AB9"/>
    <w:rsid w:val="001C3EF7"/>
    <w:rsid w:val="001C51B9"/>
    <w:rsid w:val="001C622F"/>
    <w:rsid w:val="001C7385"/>
    <w:rsid w:val="001D0E9F"/>
    <w:rsid w:val="001D189E"/>
    <w:rsid w:val="001D1BD0"/>
    <w:rsid w:val="001D3BB0"/>
    <w:rsid w:val="001D659B"/>
    <w:rsid w:val="001D6B31"/>
    <w:rsid w:val="001D7BC2"/>
    <w:rsid w:val="001E070A"/>
    <w:rsid w:val="001E1761"/>
    <w:rsid w:val="001E28CC"/>
    <w:rsid w:val="001E48E3"/>
    <w:rsid w:val="001E5AAC"/>
    <w:rsid w:val="001F00E4"/>
    <w:rsid w:val="001F08A7"/>
    <w:rsid w:val="001F1B6E"/>
    <w:rsid w:val="001F32AA"/>
    <w:rsid w:val="001F3FB9"/>
    <w:rsid w:val="001F647A"/>
    <w:rsid w:val="001F70F7"/>
    <w:rsid w:val="00200EF9"/>
    <w:rsid w:val="002018E0"/>
    <w:rsid w:val="00204164"/>
    <w:rsid w:val="00204F46"/>
    <w:rsid w:val="00211C36"/>
    <w:rsid w:val="00211D1E"/>
    <w:rsid w:val="00214037"/>
    <w:rsid w:val="002154ED"/>
    <w:rsid w:val="0022054B"/>
    <w:rsid w:val="002209D6"/>
    <w:rsid w:val="00220EEB"/>
    <w:rsid w:val="002210BE"/>
    <w:rsid w:val="00221B4F"/>
    <w:rsid w:val="00222BC9"/>
    <w:rsid w:val="0022311E"/>
    <w:rsid w:val="002246AC"/>
    <w:rsid w:val="002248D6"/>
    <w:rsid w:val="00226F5B"/>
    <w:rsid w:val="0022723E"/>
    <w:rsid w:val="00230F12"/>
    <w:rsid w:val="00232419"/>
    <w:rsid w:val="002326A4"/>
    <w:rsid w:val="00232704"/>
    <w:rsid w:val="0023439F"/>
    <w:rsid w:val="0023443E"/>
    <w:rsid w:val="00234A12"/>
    <w:rsid w:val="00234ACC"/>
    <w:rsid w:val="0023531E"/>
    <w:rsid w:val="0023582A"/>
    <w:rsid w:val="00237642"/>
    <w:rsid w:val="00240F8A"/>
    <w:rsid w:val="00241DE3"/>
    <w:rsid w:val="002421AF"/>
    <w:rsid w:val="002448CD"/>
    <w:rsid w:val="002467B4"/>
    <w:rsid w:val="00247B19"/>
    <w:rsid w:val="00247F15"/>
    <w:rsid w:val="00250BC1"/>
    <w:rsid w:val="0025188A"/>
    <w:rsid w:val="00251E9C"/>
    <w:rsid w:val="00252838"/>
    <w:rsid w:val="00254BE6"/>
    <w:rsid w:val="00255167"/>
    <w:rsid w:val="002564F0"/>
    <w:rsid w:val="00257E6D"/>
    <w:rsid w:val="00261CBD"/>
    <w:rsid w:val="0026215A"/>
    <w:rsid w:val="00262218"/>
    <w:rsid w:val="0026337F"/>
    <w:rsid w:val="00263A74"/>
    <w:rsid w:val="002645AF"/>
    <w:rsid w:val="00264BA6"/>
    <w:rsid w:val="00265859"/>
    <w:rsid w:val="00265BAD"/>
    <w:rsid w:val="00266B0B"/>
    <w:rsid w:val="00266F3B"/>
    <w:rsid w:val="002675CC"/>
    <w:rsid w:val="00267D76"/>
    <w:rsid w:val="0027072D"/>
    <w:rsid w:val="00273A47"/>
    <w:rsid w:val="00275889"/>
    <w:rsid w:val="00275DA9"/>
    <w:rsid w:val="00280042"/>
    <w:rsid w:val="002804ED"/>
    <w:rsid w:val="00282509"/>
    <w:rsid w:val="0028423D"/>
    <w:rsid w:val="00285A03"/>
    <w:rsid w:val="0028620E"/>
    <w:rsid w:val="002862B6"/>
    <w:rsid w:val="00287451"/>
    <w:rsid w:val="00287A1A"/>
    <w:rsid w:val="00287C2E"/>
    <w:rsid w:val="00290FEC"/>
    <w:rsid w:val="00292012"/>
    <w:rsid w:val="002925F7"/>
    <w:rsid w:val="00292C7C"/>
    <w:rsid w:val="002939B3"/>
    <w:rsid w:val="0029485B"/>
    <w:rsid w:val="00294EFA"/>
    <w:rsid w:val="00296000"/>
    <w:rsid w:val="00297A57"/>
    <w:rsid w:val="002A010D"/>
    <w:rsid w:val="002A20BA"/>
    <w:rsid w:val="002A7951"/>
    <w:rsid w:val="002B055D"/>
    <w:rsid w:val="002B1B40"/>
    <w:rsid w:val="002B23BA"/>
    <w:rsid w:val="002B26FF"/>
    <w:rsid w:val="002B4F66"/>
    <w:rsid w:val="002B538C"/>
    <w:rsid w:val="002C073A"/>
    <w:rsid w:val="002C2896"/>
    <w:rsid w:val="002C2C3D"/>
    <w:rsid w:val="002C3B68"/>
    <w:rsid w:val="002C549C"/>
    <w:rsid w:val="002C5A5D"/>
    <w:rsid w:val="002C6CD0"/>
    <w:rsid w:val="002D284D"/>
    <w:rsid w:val="002D42DA"/>
    <w:rsid w:val="002D5962"/>
    <w:rsid w:val="002D7A55"/>
    <w:rsid w:val="002E1FF3"/>
    <w:rsid w:val="002E2F53"/>
    <w:rsid w:val="002E3442"/>
    <w:rsid w:val="002E4928"/>
    <w:rsid w:val="002E4B10"/>
    <w:rsid w:val="002E4B68"/>
    <w:rsid w:val="002E6132"/>
    <w:rsid w:val="002E6191"/>
    <w:rsid w:val="002E64C8"/>
    <w:rsid w:val="002E651D"/>
    <w:rsid w:val="002F547F"/>
    <w:rsid w:val="002F573D"/>
    <w:rsid w:val="002F5BD6"/>
    <w:rsid w:val="002F5FB9"/>
    <w:rsid w:val="002F628F"/>
    <w:rsid w:val="002F7784"/>
    <w:rsid w:val="0030005A"/>
    <w:rsid w:val="003005E9"/>
    <w:rsid w:val="003011AD"/>
    <w:rsid w:val="003019B8"/>
    <w:rsid w:val="00302993"/>
    <w:rsid w:val="003040C3"/>
    <w:rsid w:val="003044B0"/>
    <w:rsid w:val="003044DD"/>
    <w:rsid w:val="003059FE"/>
    <w:rsid w:val="00306608"/>
    <w:rsid w:val="003067CD"/>
    <w:rsid w:val="00310F9A"/>
    <w:rsid w:val="0031113E"/>
    <w:rsid w:val="0031178E"/>
    <w:rsid w:val="003122A9"/>
    <w:rsid w:val="00313FE1"/>
    <w:rsid w:val="003145EA"/>
    <w:rsid w:val="003163C2"/>
    <w:rsid w:val="00316688"/>
    <w:rsid w:val="00320556"/>
    <w:rsid w:val="00320937"/>
    <w:rsid w:val="003211A2"/>
    <w:rsid w:val="0032185B"/>
    <w:rsid w:val="00322059"/>
    <w:rsid w:val="003230E1"/>
    <w:rsid w:val="0032399B"/>
    <w:rsid w:val="0033007D"/>
    <w:rsid w:val="00331896"/>
    <w:rsid w:val="00331B72"/>
    <w:rsid w:val="00331DA8"/>
    <w:rsid w:val="00332A14"/>
    <w:rsid w:val="00334AB5"/>
    <w:rsid w:val="003362C9"/>
    <w:rsid w:val="0033706E"/>
    <w:rsid w:val="003409F1"/>
    <w:rsid w:val="0034272C"/>
    <w:rsid w:val="00343A66"/>
    <w:rsid w:val="00343BCC"/>
    <w:rsid w:val="00344294"/>
    <w:rsid w:val="003442DC"/>
    <w:rsid w:val="00346BE2"/>
    <w:rsid w:val="00347167"/>
    <w:rsid w:val="00350710"/>
    <w:rsid w:val="00350D5D"/>
    <w:rsid w:val="00351521"/>
    <w:rsid w:val="0035215F"/>
    <w:rsid w:val="00352687"/>
    <w:rsid w:val="00352729"/>
    <w:rsid w:val="00352A09"/>
    <w:rsid w:val="00354219"/>
    <w:rsid w:val="00354778"/>
    <w:rsid w:val="00354EDB"/>
    <w:rsid w:val="00355FAA"/>
    <w:rsid w:val="00356105"/>
    <w:rsid w:val="003616EE"/>
    <w:rsid w:val="00362CAE"/>
    <w:rsid w:val="00363D6F"/>
    <w:rsid w:val="00365DB9"/>
    <w:rsid w:val="00366B53"/>
    <w:rsid w:val="00367588"/>
    <w:rsid w:val="003678EB"/>
    <w:rsid w:val="00367EBE"/>
    <w:rsid w:val="003730B2"/>
    <w:rsid w:val="00373621"/>
    <w:rsid w:val="003744B5"/>
    <w:rsid w:val="003768A4"/>
    <w:rsid w:val="003773AC"/>
    <w:rsid w:val="0038234C"/>
    <w:rsid w:val="0038337C"/>
    <w:rsid w:val="00385048"/>
    <w:rsid w:val="00386581"/>
    <w:rsid w:val="003879E1"/>
    <w:rsid w:val="003909B9"/>
    <w:rsid w:val="00391E3E"/>
    <w:rsid w:val="00393B17"/>
    <w:rsid w:val="00394C41"/>
    <w:rsid w:val="00394C6D"/>
    <w:rsid w:val="00396238"/>
    <w:rsid w:val="00396E2B"/>
    <w:rsid w:val="00397C63"/>
    <w:rsid w:val="003A1B97"/>
    <w:rsid w:val="003A2024"/>
    <w:rsid w:val="003A4BA5"/>
    <w:rsid w:val="003A5A69"/>
    <w:rsid w:val="003A7928"/>
    <w:rsid w:val="003A79CE"/>
    <w:rsid w:val="003B0003"/>
    <w:rsid w:val="003B0AD4"/>
    <w:rsid w:val="003B1A43"/>
    <w:rsid w:val="003B1D66"/>
    <w:rsid w:val="003B49AC"/>
    <w:rsid w:val="003B6050"/>
    <w:rsid w:val="003B68DC"/>
    <w:rsid w:val="003B76F5"/>
    <w:rsid w:val="003C1178"/>
    <w:rsid w:val="003C2E03"/>
    <w:rsid w:val="003C6960"/>
    <w:rsid w:val="003D0ACD"/>
    <w:rsid w:val="003D48E3"/>
    <w:rsid w:val="003D4C29"/>
    <w:rsid w:val="003D4E1E"/>
    <w:rsid w:val="003D61B7"/>
    <w:rsid w:val="003D67A8"/>
    <w:rsid w:val="003D6AF6"/>
    <w:rsid w:val="003D6D50"/>
    <w:rsid w:val="003D6E29"/>
    <w:rsid w:val="003D7008"/>
    <w:rsid w:val="003D762F"/>
    <w:rsid w:val="003E0745"/>
    <w:rsid w:val="003E1366"/>
    <w:rsid w:val="003E17AB"/>
    <w:rsid w:val="003E17FC"/>
    <w:rsid w:val="003E1F67"/>
    <w:rsid w:val="003E27D6"/>
    <w:rsid w:val="003E34A7"/>
    <w:rsid w:val="003E681A"/>
    <w:rsid w:val="003F06C0"/>
    <w:rsid w:val="003F0759"/>
    <w:rsid w:val="003F092C"/>
    <w:rsid w:val="003F172C"/>
    <w:rsid w:val="003F1F4F"/>
    <w:rsid w:val="003F2D04"/>
    <w:rsid w:val="003F3407"/>
    <w:rsid w:val="003F4AA4"/>
    <w:rsid w:val="003F61E6"/>
    <w:rsid w:val="004030ED"/>
    <w:rsid w:val="00404C75"/>
    <w:rsid w:val="00405733"/>
    <w:rsid w:val="004063EB"/>
    <w:rsid w:val="00406E0F"/>
    <w:rsid w:val="00407C45"/>
    <w:rsid w:val="0041175E"/>
    <w:rsid w:val="00412062"/>
    <w:rsid w:val="004135B7"/>
    <w:rsid w:val="00413DF8"/>
    <w:rsid w:val="00414E09"/>
    <w:rsid w:val="00417A50"/>
    <w:rsid w:val="00420082"/>
    <w:rsid w:val="004210D2"/>
    <w:rsid w:val="0042411D"/>
    <w:rsid w:val="00424E28"/>
    <w:rsid w:val="004250ED"/>
    <w:rsid w:val="00425AA6"/>
    <w:rsid w:val="00426247"/>
    <w:rsid w:val="0042634D"/>
    <w:rsid w:val="00426442"/>
    <w:rsid w:val="00434022"/>
    <w:rsid w:val="0043422F"/>
    <w:rsid w:val="00434823"/>
    <w:rsid w:val="00434AFE"/>
    <w:rsid w:val="00436CBC"/>
    <w:rsid w:val="00445F04"/>
    <w:rsid w:val="00446CEF"/>
    <w:rsid w:val="004510D2"/>
    <w:rsid w:val="0045222F"/>
    <w:rsid w:val="00453049"/>
    <w:rsid w:val="00455CBB"/>
    <w:rsid w:val="0045660B"/>
    <w:rsid w:val="00456C4C"/>
    <w:rsid w:val="0045788B"/>
    <w:rsid w:val="00461650"/>
    <w:rsid w:val="00464D7F"/>
    <w:rsid w:val="00465ADB"/>
    <w:rsid w:val="00466FD1"/>
    <w:rsid w:val="004714C7"/>
    <w:rsid w:val="004721A0"/>
    <w:rsid w:val="0047233F"/>
    <w:rsid w:val="004730B4"/>
    <w:rsid w:val="0047451F"/>
    <w:rsid w:val="004749B7"/>
    <w:rsid w:val="00474B7D"/>
    <w:rsid w:val="00474E29"/>
    <w:rsid w:val="00475503"/>
    <w:rsid w:val="004776A3"/>
    <w:rsid w:val="00480464"/>
    <w:rsid w:val="004805C2"/>
    <w:rsid w:val="00480D93"/>
    <w:rsid w:val="00480EB4"/>
    <w:rsid w:val="0048174E"/>
    <w:rsid w:val="00484B26"/>
    <w:rsid w:val="004859AD"/>
    <w:rsid w:val="004867E5"/>
    <w:rsid w:val="00487FFD"/>
    <w:rsid w:val="00490170"/>
    <w:rsid w:val="004902D5"/>
    <w:rsid w:val="0049172E"/>
    <w:rsid w:val="0049327D"/>
    <w:rsid w:val="00494081"/>
    <w:rsid w:val="004955D5"/>
    <w:rsid w:val="0049590F"/>
    <w:rsid w:val="00495C6C"/>
    <w:rsid w:val="00496918"/>
    <w:rsid w:val="0049694A"/>
    <w:rsid w:val="00497BC5"/>
    <w:rsid w:val="00497DE7"/>
    <w:rsid w:val="00497FC0"/>
    <w:rsid w:val="004A1D66"/>
    <w:rsid w:val="004A1FE9"/>
    <w:rsid w:val="004A49F7"/>
    <w:rsid w:val="004B06DD"/>
    <w:rsid w:val="004B404A"/>
    <w:rsid w:val="004B553B"/>
    <w:rsid w:val="004B56CE"/>
    <w:rsid w:val="004B65E9"/>
    <w:rsid w:val="004B78AE"/>
    <w:rsid w:val="004C0C68"/>
    <w:rsid w:val="004C1C9E"/>
    <w:rsid w:val="004C209E"/>
    <w:rsid w:val="004C2160"/>
    <w:rsid w:val="004C26BE"/>
    <w:rsid w:val="004C4BFF"/>
    <w:rsid w:val="004C52DA"/>
    <w:rsid w:val="004D3EA0"/>
    <w:rsid w:val="004D6C25"/>
    <w:rsid w:val="004D6CD4"/>
    <w:rsid w:val="004D6F5E"/>
    <w:rsid w:val="004D709F"/>
    <w:rsid w:val="004D7275"/>
    <w:rsid w:val="004D7D87"/>
    <w:rsid w:val="004D7DFC"/>
    <w:rsid w:val="004E28AE"/>
    <w:rsid w:val="004E366C"/>
    <w:rsid w:val="004E7686"/>
    <w:rsid w:val="004F0424"/>
    <w:rsid w:val="004F0E45"/>
    <w:rsid w:val="004F2C49"/>
    <w:rsid w:val="004F2FED"/>
    <w:rsid w:val="004F32B6"/>
    <w:rsid w:val="004F54BD"/>
    <w:rsid w:val="004F5739"/>
    <w:rsid w:val="004F64F6"/>
    <w:rsid w:val="004F7A10"/>
    <w:rsid w:val="00500F29"/>
    <w:rsid w:val="00501B39"/>
    <w:rsid w:val="00502B25"/>
    <w:rsid w:val="00504B57"/>
    <w:rsid w:val="0050557C"/>
    <w:rsid w:val="00511182"/>
    <w:rsid w:val="005131F8"/>
    <w:rsid w:val="005143EB"/>
    <w:rsid w:val="00514975"/>
    <w:rsid w:val="00514A8E"/>
    <w:rsid w:val="00515119"/>
    <w:rsid w:val="00522C83"/>
    <w:rsid w:val="00522DF9"/>
    <w:rsid w:val="00524AFC"/>
    <w:rsid w:val="005272DD"/>
    <w:rsid w:val="00530E80"/>
    <w:rsid w:val="005328F4"/>
    <w:rsid w:val="0053379F"/>
    <w:rsid w:val="00533FE2"/>
    <w:rsid w:val="00534508"/>
    <w:rsid w:val="00535DB3"/>
    <w:rsid w:val="00535EDA"/>
    <w:rsid w:val="00537266"/>
    <w:rsid w:val="00542EC8"/>
    <w:rsid w:val="005437EA"/>
    <w:rsid w:val="00543A04"/>
    <w:rsid w:val="005443E6"/>
    <w:rsid w:val="0054451C"/>
    <w:rsid w:val="00546462"/>
    <w:rsid w:val="00550D2A"/>
    <w:rsid w:val="0055215F"/>
    <w:rsid w:val="00552F20"/>
    <w:rsid w:val="0055361B"/>
    <w:rsid w:val="00553648"/>
    <w:rsid w:val="00553A3E"/>
    <w:rsid w:val="0055643E"/>
    <w:rsid w:val="00557F22"/>
    <w:rsid w:val="0056181B"/>
    <w:rsid w:val="00562645"/>
    <w:rsid w:val="005626DE"/>
    <w:rsid w:val="005648D0"/>
    <w:rsid w:val="00565F07"/>
    <w:rsid w:val="005669EE"/>
    <w:rsid w:val="00567104"/>
    <w:rsid w:val="005678B2"/>
    <w:rsid w:val="00570202"/>
    <w:rsid w:val="00572188"/>
    <w:rsid w:val="0057368F"/>
    <w:rsid w:val="00573EFC"/>
    <w:rsid w:val="00575918"/>
    <w:rsid w:val="00576E8E"/>
    <w:rsid w:val="00580F15"/>
    <w:rsid w:val="00583548"/>
    <w:rsid w:val="00583D94"/>
    <w:rsid w:val="00584B9B"/>
    <w:rsid w:val="005851AB"/>
    <w:rsid w:val="0058521F"/>
    <w:rsid w:val="00585D69"/>
    <w:rsid w:val="005864B0"/>
    <w:rsid w:val="005868F5"/>
    <w:rsid w:val="00590096"/>
    <w:rsid w:val="005917F7"/>
    <w:rsid w:val="0059209F"/>
    <w:rsid w:val="005926E1"/>
    <w:rsid w:val="00592AB0"/>
    <w:rsid w:val="005944D2"/>
    <w:rsid w:val="0059483B"/>
    <w:rsid w:val="0059499D"/>
    <w:rsid w:val="00594D45"/>
    <w:rsid w:val="00596653"/>
    <w:rsid w:val="0059765F"/>
    <w:rsid w:val="00597949"/>
    <w:rsid w:val="005A3AD3"/>
    <w:rsid w:val="005A3B25"/>
    <w:rsid w:val="005A3B63"/>
    <w:rsid w:val="005A4F51"/>
    <w:rsid w:val="005A5960"/>
    <w:rsid w:val="005A672E"/>
    <w:rsid w:val="005A67CA"/>
    <w:rsid w:val="005A6D76"/>
    <w:rsid w:val="005A7BDA"/>
    <w:rsid w:val="005B0039"/>
    <w:rsid w:val="005B0909"/>
    <w:rsid w:val="005B149B"/>
    <w:rsid w:val="005B206C"/>
    <w:rsid w:val="005B4113"/>
    <w:rsid w:val="005B5E62"/>
    <w:rsid w:val="005C0422"/>
    <w:rsid w:val="005C194A"/>
    <w:rsid w:val="005C1F04"/>
    <w:rsid w:val="005C347D"/>
    <w:rsid w:val="005C3517"/>
    <w:rsid w:val="005C3BF0"/>
    <w:rsid w:val="005C4493"/>
    <w:rsid w:val="005C4597"/>
    <w:rsid w:val="005C587D"/>
    <w:rsid w:val="005C6B27"/>
    <w:rsid w:val="005C6E66"/>
    <w:rsid w:val="005C71D1"/>
    <w:rsid w:val="005C7DD7"/>
    <w:rsid w:val="005D1F0C"/>
    <w:rsid w:val="005D1F60"/>
    <w:rsid w:val="005D204E"/>
    <w:rsid w:val="005D5B8E"/>
    <w:rsid w:val="005D6FFC"/>
    <w:rsid w:val="005E11C9"/>
    <w:rsid w:val="005E13F8"/>
    <w:rsid w:val="005E15EC"/>
    <w:rsid w:val="005E25E3"/>
    <w:rsid w:val="005E4402"/>
    <w:rsid w:val="005E468E"/>
    <w:rsid w:val="005E4D81"/>
    <w:rsid w:val="005E56E6"/>
    <w:rsid w:val="005E5905"/>
    <w:rsid w:val="005E5DE3"/>
    <w:rsid w:val="005E69CE"/>
    <w:rsid w:val="005E6E90"/>
    <w:rsid w:val="005E7199"/>
    <w:rsid w:val="005F10EF"/>
    <w:rsid w:val="005F1359"/>
    <w:rsid w:val="005F14A4"/>
    <w:rsid w:val="005F71E9"/>
    <w:rsid w:val="00600CF1"/>
    <w:rsid w:val="006041F6"/>
    <w:rsid w:val="00605E8D"/>
    <w:rsid w:val="00606D9A"/>
    <w:rsid w:val="00614A8C"/>
    <w:rsid w:val="00616793"/>
    <w:rsid w:val="006168B9"/>
    <w:rsid w:val="006203F6"/>
    <w:rsid w:val="006207FC"/>
    <w:rsid w:val="00621571"/>
    <w:rsid w:val="00621F99"/>
    <w:rsid w:val="00622861"/>
    <w:rsid w:val="00622C14"/>
    <w:rsid w:val="00626F1B"/>
    <w:rsid w:val="00627497"/>
    <w:rsid w:val="00627A6E"/>
    <w:rsid w:val="00630D97"/>
    <w:rsid w:val="00631500"/>
    <w:rsid w:val="0063459F"/>
    <w:rsid w:val="00640B15"/>
    <w:rsid w:val="00640EA2"/>
    <w:rsid w:val="006411A8"/>
    <w:rsid w:val="0064282E"/>
    <w:rsid w:val="00642DF2"/>
    <w:rsid w:val="00645108"/>
    <w:rsid w:val="0064543B"/>
    <w:rsid w:val="006456FC"/>
    <w:rsid w:val="00645A2C"/>
    <w:rsid w:val="00646070"/>
    <w:rsid w:val="00647000"/>
    <w:rsid w:val="00647224"/>
    <w:rsid w:val="00647B0B"/>
    <w:rsid w:val="00651F22"/>
    <w:rsid w:val="006521A9"/>
    <w:rsid w:val="0065241F"/>
    <w:rsid w:val="00653D7D"/>
    <w:rsid w:val="00654A49"/>
    <w:rsid w:val="00657905"/>
    <w:rsid w:val="00660223"/>
    <w:rsid w:val="00660A13"/>
    <w:rsid w:val="00661021"/>
    <w:rsid w:val="00661A69"/>
    <w:rsid w:val="00662965"/>
    <w:rsid w:val="00662BAA"/>
    <w:rsid w:val="00662DC8"/>
    <w:rsid w:val="006656D6"/>
    <w:rsid w:val="006666EF"/>
    <w:rsid w:val="006667A8"/>
    <w:rsid w:val="006668B2"/>
    <w:rsid w:val="00667366"/>
    <w:rsid w:val="00671D5E"/>
    <w:rsid w:val="00672614"/>
    <w:rsid w:val="006734CE"/>
    <w:rsid w:val="00674509"/>
    <w:rsid w:val="00675329"/>
    <w:rsid w:val="006753A0"/>
    <w:rsid w:val="0067784D"/>
    <w:rsid w:val="00677D08"/>
    <w:rsid w:val="00677E21"/>
    <w:rsid w:val="00685112"/>
    <w:rsid w:val="006852A9"/>
    <w:rsid w:val="006859B2"/>
    <w:rsid w:val="006871CF"/>
    <w:rsid w:val="00687E14"/>
    <w:rsid w:val="0069091F"/>
    <w:rsid w:val="0069106A"/>
    <w:rsid w:val="00692666"/>
    <w:rsid w:val="006926A8"/>
    <w:rsid w:val="0069370B"/>
    <w:rsid w:val="00694376"/>
    <w:rsid w:val="00694DEB"/>
    <w:rsid w:val="00695D12"/>
    <w:rsid w:val="00695D3C"/>
    <w:rsid w:val="00697282"/>
    <w:rsid w:val="006973B0"/>
    <w:rsid w:val="006A0218"/>
    <w:rsid w:val="006A1312"/>
    <w:rsid w:val="006A138C"/>
    <w:rsid w:val="006A646F"/>
    <w:rsid w:val="006A658E"/>
    <w:rsid w:val="006A6DF4"/>
    <w:rsid w:val="006A7374"/>
    <w:rsid w:val="006B0114"/>
    <w:rsid w:val="006B137D"/>
    <w:rsid w:val="006B3A19"/>
    <w:rsid w:val="006B4A9F"/>
    <w:rsid w:val="006B539E"/>
    <w:rsid w:val="006B7763"/>
    <w:rsid w:val="006C03AF"/>
    <w:rsid w:val="006C11D1"/>
    <w:rsid w:val="006C1630"/>
    <w:rsid w:val="006C1FAB"/>
    <w:rsid w:val="006C42F4"/>
    <w:rsid w:val="006C4EAC"/>
    <w:rsid w:val="006C64BF"/>
    <w:rsid w:val="006C7EE4"/>
    <w:rsid w:val="006D02DA"/>
    <w:rsid w:val="006D3589"/>
    <w:rsid w:val="006D4D2B"/>
    <w:rsid w:val="006D4D38"/>
    <w:rsid w:val="006D586A"/>
    <w:rsid w:val="006D767C"/>
    <w:rsid w:val="006E0EF5"/>
    <w:rsid w:val="006E4D25"/>
    <w:rsid w:val="006E5CC1"/>
    <w:rsid w:val="006E6A32"/>
    <w:rsid w:val="006E75EB"/>
    <w:rsid w:val="006F12A9"/>
    <w:rsid w:val="006F1DA6"/>
    <w:rsid w:val="006F28D3"/>
    <w:rsid w:val="006F2968"/>
    <w:rsid w:val="006F4E2C"/>
    <w:rsid w:val="006F51A8"/>
    <w:rsid w:val="006F5451"/>
    <w:rsid w:val="006F5A11"/>
    <w:rsid w:val="006F5AE6"/>
    <w:rsid w:val="006F6384"/>
    <w:rsid w:val="006F7A88"/>
    <w:rsid w:val="007004E8"/>
    <w:rsid w:val="007005C2"/>
    <w:rsid w:val="0070065E"/>
    <w:rsid w:val="00702259"/>
    <w:rsid w:val="00702F11"/>
    <w:rsid w:val="007040C3"/>
    <w:rsid w:val="007076DA"/>
    <w:rsid w:val="007102F0"/>
    <w:rsid w:val="007107C7"/>
    <w:rsid w:val="00711449"/>
    <w:rsid w:val="00711483"/>
    <w:rsid w:val="0071314D"/>
    <w:rsid w:val="007139A1"/>
    <w:rsid w:val="007144C0"/>
    <w:rsid w:val="007168DA"/>
    <w:rsid w:val="00717C59"/>
    <w:rsid w:val="00720C7B"/>
    <w:rsid w:val="0072113D"/>
    <w:rsid w:val="00721604"/>
    <w:rsid w:val="00721E43"/>
    <w:rsid w:val="00724EFA"/>
    <w:rsid w:val="007250CE"/>
    <w:rsid w:val="0072564E"/>
    <w:rsid w:val="00730428"/>
    <w:rsid w:val="007311BD"/>
    <w:rsid w:val="007313CC"/>
    <w:rsid w:val="00731A73"/>
    <w:rsid w:val="00731A8C"/>
    <w:rsid w:val="00732DE0"/>
    <w:rsid w:val="00733240"/>
    <w:rsid w:val="007358ED"/>
    <w:rsid w:val="00742678"/>
    <w:rsid w:val="00742BD4"/>
    <w:rsid w:val="00743765"/>
    <w:rsid w:val="00744727"/>
    <w:rsid w:val="00747F61"/>
    <w:rsid w:val="00751630"/>
    <w:rsid w:val="007532E7"/>
    <w:rsid w:val="00755E45"/>
    <w:rsid w:val="007638A3"/>
    <w:rsid w:val="00764B2B"/>
    <w:rsid w:val="0076766C"/>
    <w:rsid w:val="007719C8"/>
    <w:rsid w:val="00771DEE"/>
    <w:rsid w:val="0077201F"/>
    <w:rsid w:val="00772A5D"/>
    <w:rsid w:val="00772F84"/>
    <w:rsid w:val="0077390A"/>
    <w:rsid w:val="007750C3"/>
    <w:rsid w:val="007764F5"/>
    <w:rsid w:val="00776FC1"/>
    <w:rsid w:val="007773E2"/>
    <w:rsid w:val="00780B56"/>
    <w:rsid w:val="0078166A"/>
    <w:rsid w:val="007816DB"/>
    <w:rsid w:val="00782365"/>
    <w:rsid w:val="00783D03"/>
    <w:rsid w:val="00786AC4"/>
    <w:rsid w:val="00793711"/>
    <w:rsid w:val="007943C8"/>
    <w:rsid w:val="00794FFB"/>
    <w:rsid w:val="00796C35"/>
    <w:rsid w:val="00797A4E"/>
    <w:rsid w:val="007A0F7C"/>
    <w:rsid w:val="007A1757"/>
    <w:rsid w:val="007A1772"/>
    <w:rsid w:val="007A23EB"/>
    <w:rsid w:val="007A4145"/>
    <w:rsid w:val="007A5A54"/>
    <w:rsid w:val="007A67A7"/>
    <w:rsid w:val="007A7DC9"/>
    <w:rsid w:val="007B02DE"/>
    <w:rsid w:val="007B2062"/>
    <w:rsid w:val="007B44CE"/>
    <w:rsid w:val="007B5B93"/>
    <w:rsid w:val="007B6C2F"/>
    <w:rsid w:val="007B6C45"/>
    <w:rsid w:val="007B7D78"/>
    <w:rsid w:val="007C1CD2"/>
    <w:rsid w:val="007C1ECA"/>
    <w:rsid w:val="007C355E"/>
    <w:rsid w:val="007C4A2A"/>
    <w:rsid w:val="007C6F28"/>
    <w:rsid w:val="007D00BE"/>
    <w:rsid w:val="007D1216"/>
    <w:rsid w:val="007D1307"/>
    <w:rsid w:val="007D224E"/>
    <w:rsid w:val="007D34B9"/>
    <w:rsid w:val="007D7A84"/>
    <w:rsid w:val="007E052F"/>
    <w:rsid w:val="007E2187"/>
    <w:rsid w:val="007E252C"/>
    <w:rsid w:val="007E2654"/>
    <w:rsid w:val="007E3831"/>
    <w:rsid w:val="007E4A4D"/>
    <w:rsid w:val="007E4A9A"/>
    <w:rsid w:val="007E5633"/>
    <w:rsid w:val="007E6EF4"/>
    <w:rsid w:val="007E705C"/>
    <w:rsid w:val="007E74E4"/>
    <w:rsid w:val="007F17B6"/>
    <w:rsid w:val="007F71C5"/>
    <w:rsid w:val="007F7BA7"/>
    <w:rsid w:val="00800D25"/>
    <w:rsid w:val="00801808"/>
    <w:rsid w:val="008030D0"/>
    <w:rsid w:val="008060E3"/>
    <w:rsid w:val="00811BC8"/>
    <w:rsid w:val="00811CD1"/>
    <w:rsid w:val="0081284D"/>
    <w:rsid w:val="00812924"/>
    <w:rsid w:val="00813CEC"/>
    <w:rsid w:val="00814355"/>
    <w:rsid w:val="00815438"/>
    <w:rsid w:val="00817A75"/>
    <w:rsid w:val="0082270C"/>
    <w:rsid w:val="0082467C"/>
    <w:rsid w:val="008255C9"/>
    <w:rsid w:val="008274DD"/>
    <w:rsid w:val="00827F5B"/>
    <w:rsid w:val="0083027F"/>
    <w:rsid w:val="008309C4"/>
    <w:rsid w:val="00830E49"/>
    <w:rsid w:val="00831E20"/>
    <w:rsid w:val="00832C83"/>
    <w:rsid w:val="008331AD"/>
    <w:rsid w:val="00833999"/>
    <w:rsid w:val="008344B1"/>
    <w:rsid w:val="008347D1"/>
    <w:rsid w:val="00835688"/>
    <w:rsid w:val="008357D4"/>
    <w:rsid w:val="008357EC"/>
    <w:rsid w:val="00835E51"/>
    <w:rsid w:val="00836A72"/>
    <w:rsid w:val="00837100"/>
    <w:rsid w:val="00841E8A"/>
    <w:rsid w:val="00842D92"/>
    <w:rsid w:val="00843613"/>
    <w:rsid w:val="00843C98"/>
    <w:rsid w:val="00843E1C"/>
    <w:rsid w:val="008449A4"/>
    <w:rsid w:val="008465A1"/>
    <w:rsid w:val="00846B75"/>
    <w:rsid w:val="00846EDF"/>
    <w:rsid w:val="008471DA"/>
    <w:rsid w:val="00847369"/>
    <w:rsid w:val="008508CA"/>
    <w:rsid w:val="00851FB8"/>
    <w:rsid w:val="00853639"/>
    <w:rsid w:val="0085669F"/>
    <w:rsid w:val="008603BA"/>
    <w:rsid w:val="00860400"/>
    <w:rsid w:val="00860BB7"/>
    <w:rsid w:val="0086154E"/>
    <w:rsid w:val="00862E95"/>
    <w:rsid w:val="0086321B"/>
    <w:rsid w:val="00864035"/>
    <w:rsid w:val="008646E1"/>
    <w:rsid w:val="0086510E"/>
    <w:rsid w:val="00865217"/>
    <w:rsid w:val="008662A2"/>
    <w:rsid w:val="00866E3D"/>
    <w:rsid w:val="008709AC"/>
    <w:rsid w:val="0087105B"/>
    <w:rsid w:val="00872168"/>
    <w:rsid w:val="008727A6"/>
    <w:rsid w:val="00872BAD"/>
    <w:rsid w:val="00873AA9"/>
    <w:rsid w:val="0087475C"/>
    <w:rsid w:val="008756C0"/>
    <w:rsid w:val="00875D4F"/>
    <w:rsid w:val="00877219"/>
    <w:rsid w:val="00877CB1"/>
    <w:rsid w:val="008824B8"/>
    <w:rsid w:val="00883799"/>
    <w:rsid w:val="00885182"/>
    <w:rsid w:val="00886CF7"/>
    <w:rsid w:val="008877CB"/>
    <w:rsid w:val="00890EF8"/>
    <w:rsid w:val="00891D6F"/>
    <w:rsid w:val="00893E96"/>
    <w:rsid w:val="0089445B"/>
    <w:rsid w:val="00895D0F"/>
    <w:rsid w:val="00895FEC"/>
    <w:rsid w:val="00896012"/>
    <w:rsid w:val="008A082A"/>
    <w:rsid w:val="008A0CD3"/>
    <w:rsid w:val="008A5CE7"/>
    <w:rsid w:val="008A5F36"/>
    <w:rsid w:val="008A65C5"/>
    <w:rsid w:val="008A76FD"/>
    <w:rsid w:val="008B21AD"/>
    <w:rsid w:val="008B3E58"/>
    <w:rsid w:val="008B4679"/>
    <w:rsid w:val="008B5184"/>
    <w:rsid w:val="008B5DF8"/>
    <w:rsid w:val="008B5E54"/>
    <w:rsid w:val="008B5F2B"/>
    <w:rsid w:val="008C163A"/>
    <w:rsid w:val="008C179F"/>
    <w:rsid w:val="008C21AD"/>
    <w:rsid w:val="008C3B24"/>
    <w:rsid w:val="008C4CAD"/>
    <w:rsid w:val="008C589A"/>
    <w:rsid w:val="008C705D"/>
    <w:rsid w:val="008C7082"/>
    <w:rsid w:val="008C7BDB"/>
    <w:rsid w:val="008D02D3"/>
    <w:rsid w:val="008D04FC"/>
    <w:rsid w:val="008D12C3"/>
    <w:rsid w:val="008D1766"/>
    <w:rsid w:val="008D2619"/>
    <w:rsid w:val="008D2FCD"/>
    <w:rsid w:val="008D4533"/>
    <w:rsid w:val="008D5701"/>
    <w:rsid w:val="008D63F0"/>
    <w:rsid w:val="008D6831"/>
    <w:rsid w:val="008D75D2"/>
    <w:rsid w:val="008E1A01"/>
    <w:rsid w:val="008E1E2A"/>
    <w:rsid w:val="008E215E"/>
    <w:rsid w:val="008E366D"/>
    <w:rsid w:val="008E5B67"/>
    <w:rsid w:val="008E782E"/>
    <w:rsid w:val="008F09D7"/>
    <w:rsid w:val="008F1418"/>
    <w:rsid w:val="008F2C61"/>
    <w:rsid w:val="008F2CA3"/>
    <w:rsid w:val="008F4000"/>
    <w:rsid w:val="008F5717"/>
    <w:rsid w:val="008F5AC9"/>
    <w:rsid w:val="008F5EA1"/>
    <w:rsid w:val="008F7ECE"/>
    <w:rsid w:val="00902524"/>
    <w:rsid w:val="009034F8"/>
    <w:rsid w:val="00903E33"/>
    <w:rsid w:val="0090665A"/>
    <w:rsid w:val="00907652"/>
    <w:rsid w:val="00907980"/>
    <w:rsid w:val="009079F2"/>
    <w:rsid w:val="00907F2B"/>
    <w:rsid w:val="0091114D"/>
    <w:rsid w:val="00911B98"/>
    <w:rsid w:val="00912158"/>
    <w:rsid w:val="00912467"/>
    <w:rsid w:val="00912AB7"/>
    <w:rsid w:val="00920198"/>
    <w:rsid w:val="0092176D"/>
    <w:rsid w:val="00921A47"/>
    <w:rsid w:val="009224D4"/>
    <w:rsid w:val="00923E83"/>
    <w:rsid w:val="00925796"/>
    <w:rsid w:val="0092670B"/>
    <w:rsid w:val="00927253"/>
    <w:rsid w:val="009276B5"/>
    <w:rsid w:val="00934324"/>
    <w:rsid w:val="00936755"/>
    <w:rsid w:val="00936951"/>
    <w:rsid w:val="00936CAC"/>
    <w:rsid w:val="00937935"/>
    <w:rsid w:val="00941182"/>
    <w:rsid w:val="00941935"/>
    <w:rsid w:val="00943107"/>
    <w:rsid w:val="00943F38"/>
    <w:rsid w:val="009475B2"/>
    <w:rsid w:val="00950C85"/>
    <w:rsid w:val="00951F96"/>
    <w:rsid w:val="009533DC"/>
    <w:rsid w:val="00954F87"/>
    <w:rsid w:val="00961D58"/>
    <w:rsid w:val="00962202"/>
    <w:rsid w:val="00962366"/>
    <w:rsid w:val="00962555"/>
    <w:rsid w:val="0096282F"/>
    <w:rsid w:val="009631C7"/>
    <w:rsid w:val="00965135"/>
    <w:rsid w:val="009678DF"/>
    <w:rsid w:val="0097009C"/>
    <w:rsid w:val="00970BF5"/>
    <w:rsid w:val="009716CD"/>
    <w:rsid w:val="00971E52"/>
    <w:rsid w:val="00972217"/>
    <w:rsid w:val="00972EF0"/>
    <w:rsid w:val="0097571B"/>
    <w:rsid w:val="00977AF5"/>
    <w:rsid w:val="00981089"/>
    <w:rsid w:val="00982FD6"/>
    <w:rsid w:val="0098412E"/>
    <w:rsid w:val="00985793"/>
    <w:rsid w:val="00985C5F"/>
    <w:rsid w:val="00985D60"/>
    <w:rsid w:val="009868C3"/>
    <w:rsid w:val="009868E0"/>
    <w:rsid w:val="00987395"/>
    <w:rsid w:val="009908FB"/>
    <w:rsid w:val="009911F2"/>
    <w:rsid w:val="00991846"/>
    <w:rsid w:val="00991D1D"/>
    <w:rsid w:val="00993F18"/>
    <w:rsid w:val="009A01C3"/>
    <w:rsid w:val="009A2D0E"/>
    <w:rsid w:val="009A3F49"/>
    <w:rsid w:val="009A54BB"/>
    <w:rsid w:val="009B44F6"/>
    <w:rsid w:val="009B4B7E"/>
    <w:rsid w:val="009B6438"/>
    <w:rsid w:val="009B7B4E"/>
    <w:rsid w:val="009B7C1A"/>
    <w:rsid w:val="009C056D"/>
    <w:rsid w:val="009C0FDD"/>
    <w:rsid w:val="009C19EF"/>
    <w:rsid w:val="009C334A"/>
    <w:rsid w:val="009C3D07"/>
    <w:rsid w:val="009C4CAC"/>
    <w:rsid w:val="009C76E3"/>
    <w:rsid w:val="009C7C1C"/>
    <w:rsid w:val="009D00ED"/>
    <w:rsid w:val="009D1D5C"/>
    <w:rsid w:val="009D4213"/>
    <w:rsid w:val="009D609A"/>
    <w:rsid w:val="009D696C"/>
    <w:rsid w:val="009D7F05"/>
    <w:rsid w:val="009E0D66"/>
    <w:rsid w:val="009E2578"/>
    <w:rsid w:val="009E394C"/>
    <w:rsid w:val="009E46ED"/>
    <w:rsid w:val="009E4BA7"/>
    <w:rsid w:val="009E5431"/>
    <w:rsid w:val="009E733C"/>
    <w:rsid w:val="009E7503"/>
    <w:rsid w:val="009F072D"/>
    <w:rsid w:val="009F1E12"/>
    <w:rsid w:val="009F26C7"/>
    <w:rsid w:val="009F4C95"/>
    <w:rsid w:val="009F598F"/>
    <w:rsid w:val="009F6BC8"/>
    <w:rsid w:val="009F6D53"/>
    <w:rsid w:val="009F6DF7"/>
    <w:rsid w:val="009F7267"/>
    <w:rsid w:val="00A01666"/>
    <w:rsid w:val="00A0200B"/>
    <w:rsid w:val="00A03323"/>
    <w:rsid w:val="00A03622"/>
    <w:rsid w:val="00A05A8E"/>
    <w:rsid w:val="00A06BD5"/>
    <w:rsid w:val="00A10F94"/>
    <w:rsid w:val="00A119AB"/>
    <w:rsid w:val="00A1229A"/>
    <w:rsid w:val="00A12B2D"/>
    <w:rsid w:val="00A13D0A"/>
    <w:rsid w:val="00A13D18"/>
    <w:rsid w:val="00A1480C"/>
    <w:rsid w:val="00A154C4"/>
    <w:rsid w:val="00A15B89"/>
    <w:rsid w:val="00A216B5"/>
    <w:rsid w:val="00A227D1"/>
    <w:rsid w:val="00A23BEE"/>
    <w:rsid w:val="00A26237"/>
    <w:rsid w:val="00A26815"/>
    <w:rsid w:val="00A26C2D"/>
    <w:rsid w:val="00A26E4A"/>
    <w:rsid w:val="00A27B7B"/>
    <w:rsid w:val="00A3022A"/>
    <w:rsid w:val="00A3072F"/>
    <w:rsid w:val="00A324E2"/>
    <w:rsid w:val="00A33AAE"/>
    <w:rsid w:val="00A3479C"/>
    <w:rsid w:val="00A358ED"/>
    <w:rsid w:val="00A35CAE"/>
    <w:rsid w:val="00A373F1"/>
    <w:rsid w:val="00A379EB"/>
    <w:rsid w:val="00A4060D"/>
    <w:rsid w:val="00A40C25"/>
    <w:rsid w:val="00A43633"/>
    <w:rsid w:val="00A44033"/>
    <w:rsid w:val="00A44A7F"/>
    <w:rsid w:val="00A44A9B"/>
    <w:rsid w:val="00A44BE4"/>
    <w:rsid w:val="00A462EB"/>
    <w:rsid w:val="00A466D6"/>
    <w:rsid w:val="00A46E29"/>
    <w:rsid w:val="00A50735"/>
    <w:rsid w:val="00A508A8"/>
    <w:rsid w:val="00A5178A"/>
    <w:rsid w:val="00A51C0A"/>
    <w:rsid w:val="00A5266C"/>
    <w:rsid w:val="00A52FC6"/>
    <w:rsid w:val="00A53342"/>
    <w:rsid w:val="00A53875"/>
    <w:rsid w:val="00A549C3"/>
    <w:rsid w:val="00A54AA5"/>
    <w:rsid w:val="00A55023"/>
    <w:rsid w:val="00A55FCD"/>
    <w:rsid w:val="00A56520"/>
    <w:rsid w:val="00A60044"/>
    <w:rsid w:val="00A6011E"/>
    <w:rsid w:val="00A601AC"/>
    <w:rsid w:val="00A61D53"/>
    <w:rsid w:val="00A64FCE"/>
    <w:rsid w:val="00A673DD"/>
    <w:rsid w:val="00A6752B"/>
    <w:rsid w:val="00A675C0"/>
    <w:rsid w:val="00A6766F"/>
    <w:rsid w:val="00A70A1A"/>
    <w:rsid w:val="00A70B85"/>
    <w:rsid w:val="00A714D6"/>
    <w:rsid w:val="00A71BAD"/>
    <w:rsid w:val="00A7286E"/>
    <w:rsid w:val="00A73BA8"/>
    <w:rsid w:val="00A751C1"/>
    <w:rsid w:val="00A75FDB"/>
    <w:rsid w:val="00A77F78"/>
    <w:rsid w:val="00A81DC4"/>
    <w:rsid w:val="00A830ED"/>
    <w:rsid w:val="00A837DA"/>
    <w:rsid w:val="00A8392B"/>
    <w:rsid w:val="00A83FC4"/>
    <w:rsid w:val="00A844C8"/>
    <w:rsid w:val="00A90F3B"/>
    <w:rsid w:val="00A9239D"/>
    <w:rsid w:val="00A92769"/>
    <w:rsid w:val="00A92A89"/>
    <w:rsid w:val="00A956EA"/>
    <w:rsid w:val="00A971FB"/>
    <w:rsid w:val="00A97614"/>
    <w:rsid w:val="00A97BE5"/>
    <w:rsid w:val="00AA0A38"/>
    <w:rsid w:val="00AA379B"/>
    <w:rsid w:val="00AA6B89"/>
    <w:rsid w:val="00AA758B"/>
    <w:rsid w:val="00AB14E9"/>
    <w:rsid w:val="00AB1F69"/>
    <w:rsid w:val="00AB23BF"/>
    <w:rsid w:val="00AB38E1"/>
    <w:rsid w:val="00AB3DC5"/>
    <w:rsid w:val="00AB49CD"/>
    <w:rsid w:val="00AB6B4F"/>
    <w:rsid w:val="00AC0AC5"/>
    <w:rsid w:val="00AC1E62"/>
    <w:rsid w:val="00AC295C"/>
    <w:rsid w:val="00AC2DE3"/>
    <w:rsid w:val="00AC2F8C"/>
    <w:rsid w:val="00AC308E"/>
    <w:rsid w:val="00AC3E99"/>
    <w:rsid w:val="00AC62A2"/>
    <w:rsid w:val="00AC6938"/>
    <w:rsid w:val="00AC69D8"/>
    <w:rsid w:val="00AD315D"/>
    <w:rsid w:val="00AD41E1"/>
    <w:rsid w:val="00AD431D"/>
    <w:rsid w:val="00AD55F9"/>
    <w:rsid w:val="00AD5AF1"/>
    <w:rsid w:val="00AD639D"/>
    <w:rsid w:val="00AE3179"/>
    <w:rsid w:val="00AE3DCB"/>
    <w:rsid w:val="00AE6056"/>
    <w:rsid w:val="00AF09AA"/>
    <w:rsid w:val="00AF11DB"/>
    <w:rsid w:val="00AF409E"/>
    <w:rsid w:val="00AF572A"/>
    <w:rsid w:val="00AF591E"/>
    <w:rsid w:val="00AF62AD"/>
    <w:rsid w:val="00B0048F"/>
    <w:rsid w:val="00B00B66"/>
    <w:rsid w:val="00B03519"/>
    <w:rsid w:val="00B05743"/>
    <w:rsid w:val="00B058B8"/>
    <w:rsid w:val="00B05E9F"/>
    <w:rsid w:val="00B06E50"/>
    <w:rsid w:val="00B073A0"/>
    <w:rsid w:val="00B10169"/>
    <w:rsid w:val="00B10473"/>
    <w:rsid w:val="00B11190"/>
    <w:rsid w:val="00B126BC"/>
    <w:rsid w:val="00B13AD8"/>
    <w:rsid w:val="00B14B71"/>
    <w:rsid w:val="00B2167D"/>
    <w:rsid w:val="00B23327"/>
    <w:rsid w:val="00B27048"/>
    <w:rsid w:val="00B27AB0"/>
    <w:rsid w:val="00B3057F"/>
    <w:rsid w:val="00B30A67"/>
    <w:rsid w:val="00B31BAF"/>
    <w:rsid w:val="00B32670"/>
    <w:rsid w:val="00B32F84"/>
    <w:rsid w:val="00B33303"/>
    <w:rsid w:val="00B34A1A"/>
    <w:rsid w:val="00B3581A"/>
    <w:rsid w:val="00B36064"/>
    <w:rsid w:val="00B37EC5"/>
    <w:rsid w:val="00B40F29"/>
    <w:rsid w:val="00B42A34"/>
    <w:rsid w:val="00B4387F"/>
    <w:rsid w:val="00B4418F"/>
    <w:rsid w:val="00B442EC"/>
    <w:rsid w:val="00B44A18"/>
    <w:rsid w:val="00B4561C"/>
    <w:rsid w:val="00B45641"/>
    <w:rsid w:val="00B50A77"/>
    <w:rsid w:val="00B52F78"/>
    <w:rsid w:val="00B543E6"/>
    <w:rsid w:val="00B546CE"/>
    <w:rsid w:val="00B556E3"/>
    <w:rsid w:val="00B57480"/>
    <w:rsid w:val="00B614DE"/>
    <w:rsid w:val="00B62402"/>
    <w:rsid w:val="00B636A5"/>
    <w:rsid w:val="00B63903"/>
    <w:rsid w:val="00B6609C"/>
    <w:rsid w:val="00B70BFA"/>
    <w:rsid w:val="00B73303"/>
    <w:rsid w:val="00B80251"/>
    <w:rsid w:val="00B80BA2"/>
    <w:rsid w:val="00B81C5D"/>
    <w:rsid w:val="00B82604"/>
    <w:rsid w:val="00B8365E"/>
    <w:rsid w:val="00B84648"/>
    <w:rsid w:val="00B87529"/>
    <w:rsid w:val="00B91910"/>
    <w:rsid w:val="00B93775"/>
    <w:rsid w:val="00B9471C"/>
    <w:rsid w:val="00B94E59"/>
    <w:rsid w:val="00BA58D4"/>
    <w:rsid w:val="00BA6802"/>
    <w:rsid w:val="00BA78FE"/>
    <w:rsid w:val="00BB1BF1"/>
    <w:rsid w:val="00BB1FD4"/>
    <w:rsid w:val="00BB3DF3"/>
    <w:rsid w:val="00BB5F00"/>
    <w:rsid w:val="00BB658E"/>
    <w:rsid w:val="00BB6ACB"/>
    <w:rsid w:val="00BB6B19"/>
    <w:rsid w:val="00BC0351"/>
    <w:rsid w:val="00BC140D"/>
    <w:rsid w:val="00BC20E1"/>
    <w:rsid w:val="00BC2114"/>
    <w:rsid w:val="00BC2C04"/>
    <w:rsid w:val="00BC3891"/>
    <w:rsid w:val="00BC5D45"/>
    <w:rsid w:val="00BC6E13"/>
    <w:rsid w:val="00BD0774"/>
    <w:rsid w:val="00BD0F00"/>
    <w:rsid w:val="00BD283D"/>
    <w:rsid w:val="00BD369F"/>
    <w:rsid w:val="00BD37ED"/>
    <w:rsid w:val="00BE02DD"/>
    <w:rsid w:val="00BE15F7"/>
    <w:rsid w:val="00BE1607"/>
    <w:rsid w:val="00BE26EA"/>
    <w:rsid w:val="00BE3722"/>
    <w:rsid w:val="00BE77F4"/>
    <w:rsid w:val="00BE7F93"/>
    <w:rsid w:val="00BF01AB"/>
    <w:rsid w:val="00BF157E"/>
    <w:rsid w:val="00BF3762"/>
    <w:rsid w:val="00BF3F78"/>
    <w:rsid w:val="00BF56E3"/>
    <w:rsid w:val="00BF69CA"/>
    <w:rsid w:val="00BF6CF6"/>
    <w:rsid w:val="00BF6E88"/>
    <w:rsid w:val="00BF743B"/>
    <w:rsid w:val="00C00116"/>
    <w:rsid w:val="00C01D14"/>
    <w:rsid w:val="00C0251C"/>
    <w:rsid w:val="00C029F9"/>
    <w:rsid w:val="00C0464A"/>
    <w:rsid w:val="00C04D02"/>
    <w:rsid w:val="00C04E48"/>
    <w:rsid w:val="00C051FB"/>
    <w:rsid w:val="00C0787C"/>
    <w:rsid w:val="00C0787F"/>
    <w:rsid w:val="00C07B6A"/>
    <w:rsid w:val="00C07E28"/>
    <w:rsid w:val="00C1182B"/>
    <w:rsid w:val="00C12798"/>
    <w:rsid w:val="00C128AA"/>
    <w:rsid w:val="00C156B1"/>
    <w:rsid w:val="00C1585B"/>
    <w:rsid w:val="00C16546"/>
    <w:rsid w:val="00C16BCA"/>
    <w:rsid w:val="00C178C4"/>
    <w:rsid w:val="00C23E77"/>
    <w:rsid w:val="00C23E88"/>
    <w:rsid w:val="00C25B0A"/>
    <w:rsid w:val="00C25C26"/>
    <w:rsid w:val="00C25F94"/>
    <w:rsid w:val="00C26B3C"/>
    <w:rsid w:val="00C27D40"/>
    <w:rsid w:val="00C3120B"/>
    <w:rsid w:val="00C32D61"/>
    <w:rsid w:val="00C32F8D"/>
    <w:rsid w:val="00C33B3B"/>
    <w:rsid w:val="00C35E7D"/>
    <w:rsid w:val="00C36759"/>
    <w:rsid w:val="00C3754A"/>
    <w:rsid w:val="00C37D76"/>
    <w:rsid w:val="00C406FA"/>
    <w:rsid w:val="00C44403"/>
    <w:rsid w:val="00C45986"/>
    <w:rsid w:val="00C46F84"/>
    <w:rsid w:val="00C4743B"/>
    <w:rsid w:val="00C47AA3"/>
    <w:rsid w:val="00C506F5"/>
    <w:rsid w:val="00C50BD7"/>
    <w:rsid w:val="00C51493"/>
    <w:rsid w:val="00C5152A"/>
    <w:rsid w:val="00C525DF"/>
    <w:rsid w:val="00C52610"/>
    <w:rsid w:val="00C52FBE"/>
    <w:rsid w:val="00C55497"/>
    <w:rsid w:val="00C57830"/>
    <w:rsid w:val="00C57B31"/>
    <w:rsid w:val="00C60DC2"/>
    <w:rsid w:val="00C62225"/>
    <w:rsid w:val="00C63E49"/>
    <w:rsid w:val="00C6484F"/>
    <w:rsid w:val="00C64E1C"/>
    <w:rsid w:val="00C65580"/>
    <w:rsid w:val="00C65825"/>
    <w:rsid w:val="00C6592E"/>
    <w:rsid w:val="00C65D65"/>
    <w:rsid w:val="00C66135"/>
    <w:rsid w:val="00C670E0"/>
    <w:rsid w:val="00C70C12"/>
    <w:rsid w:val="00C70ECD"/>
    <w:rsid w:val="00C734E5"/>
    <w:rsid w:val="00C742F2"/>
    <w:rsid w:val="00C74C8A"/>
    <w:rsid w:val="00C76C55"/>
    <w:rsid w:val="00C77889"/>
    <w:rsid w:val="00C77894"/>
    <w:rsid w:val="00C77940"/>
    <w:rsid w:val="00C806A7"/>
    <w:rsid w:val="00C80B3D"/>
    <w:rsid w:val="00C80B5F"/>
    <w:rsid w:val="00C81790"/>
    <w:rsid w:val="00C8186E"/>
    <w:rsid w:val="00C81F6F"/>
    <w:rsid w:val="00C82D88"/>
    <w:rsid w:val="00C84DC1"/>
    <w:rsid w:val="00C87D34"/>
    <w:rsid w:val="00C93603"/>
    <w:rsid w:val="00C93BD5"/>
    <w:rsid w:val="00C95C63"/>
    <w:rsid w:val="00C96315"/>
    <w:rsid w:val="00C9640A"/>
    <w:rsid w:val="00C96967"/>
    <w:rsid w:val="00C97C0F"/>
    <w:rsid w:val="00CA068B"/>
    <w:rsid w:val="00CA2404"/>
    <w:rsid w:val="00CA31A7"/>
    <w:rsid w:val="00CA3431"/>
    <w:rsid w:val="00CA5A92"/>
    <w:rsid w:val="00CA66D0"/>
    <w:rsid w:val="00CA6716"/>
    <w:rsid w:val="00CA7C66"/>
    <w:rsid w:val="00CB0225"/>
    <w:rsid w:val="00CB11CB"/>
    <w:rsid w:val="00CB1BFF"/>
    <w:rsid w:val="00CB1F86"/>
    <w:rsid w:val="00CB4EBF"/>
    <w:rsid w:val="00CB4F21"/>
    <w:rsid w:val="00CB66A6"/>
    <w:rsid w:val="00CC15E2"/>
    <w:rsid w:val="00CC1DB6"/>
    <w:rsid w:val="00CC263B"/>
    <w:rsid w:val="00CC2D90"/>
    <w:rsid w:val="00CC3626"/>
    <w:rsid w:val="00CC5D00"/>
    <w:rsid w:val="00CC76AE"/>
    <w:rsid w:val="00CD2FC0"/>
    <w:rsid w:val="00CD337C"/>
    <w:rsid w:val="00CD54F4"/>
    <w:rsid w:val="00CD6694"/>
    <w:rsid w:val="00CD7842"/>
    <w:rsid w:val="00CD7FD5"/>
    <w:rsid w:val="00CE1B5F"/>
    <w:rsid w:val="00CE1DC9"/>
    <w:rsid w:val="00CE2B42"/>
    <w:rsid w:val="00CE4E69"/>
    <w:rsid w:val="00CE60E8"/>
    <w:rsid w:val="00CE688F"/>
    <w:rsid w:val="00CE6960"/>
    <w:rsid w:val="00CE7761"/>
    <w:rsid w:val="00CF0A55"/>
    <w:rsid w:val="00CF0DFC"/>
    <w:rsid w:val="00CF159D"/>
    <w:rsid w:val="00CF2452"/>
    <w:rsid w:val="00CF34A1"/>
    <w:rsid w:val="00CF4874"/>
    <w:rsid w:val="00CF4FF8"/>
    <w:rsid w:val="00CF53D4"/>
    <w:rsid w:val="00CF5B6B"/>
    <w:rsid w:val="00CF6B9A"/>
    <w:rsid w:val="00CF7E8A"/>
    <w:rsid w:val="00D0008A"/>
    <w:rsid w:val="00D001D4"/>
    <w:rsid w:val="00D00EA3"/>
    <w:rsid w:val="00D011F8"/>
    <w:rsid w:val="00D020D4"/>
    <w:rsid w:val="00D0270D"/>
    <w:rsid w:val="00D052F4"/>
    <w:rsid w:val="00D06AB2"/>
    <w:rsid w:val="00D10970"/>
    <w:rsid w:val="00D11476"/>
    <w:rsid w:val="00D116DF"/>
    <w:rsid w:val="00D11932"/>
    <w:rsid w:val="00D11BB8"/>
    <w:rsid w:val="00D14176"/>
    <w:rsid w:val="00D17ED2"/>
    <w:rsid w:val="00D2270A"/>
    <w:rsid w:val="00D233FE"/>
    <w:rsid w:val="00D25149"/>
    <w:rsid w:val="00D2676E"/>
    <w:rsid w:val="00D273EC"/>
    <w:rsid w:val="00D30E86"/>
    <w:rsid w:val="00D3248A"/>
    <w:rsid w:val="00D32741"/>
    <w:rsid w:val="00D345F3"/>
    <w:rsid w:val="00D34D40"/>
    <w:rsid w:val="00D359AE"/>
    <w:rsid w:val="00D41EF6"/>
    <w:rsid w:val="00D4253F"/>
    <w:rsid w:val="00D4296D"/>
    <w:rsid w:val="00D45890"/>
    <w:rsid w:val="00D51B9C"/>
    <w:rsid w:val="00D52C87"/>
    <w:rsid w:val="00D543C9"/>
    <w:rsid w:val="00D54A03"/>
    <w:rsid w:val="00D56507"/>
    <w:rsid w:val="00D5702A"/>
    <w:rsid w:val="00D6083F"/>
    <w:rsid w:val="00D61832"/>
    <w:rsid w:val="00D624C2"/>
    <w:rsid w:val="00D638DA"/>
    <w:rsid w:val="00D63F05"/>
    <w:rsid w:val="00D64DFA"/>
    <w:rsid w:val="00D6502B"/>
    <w:rsid w:val="00D650EC"/>
    <w:rsid w:val="00D70871"/>
    <w:rsid w:val="00D72609"/>
    <w:rsid w:val="00D74339"/>
    <w:rsid w:val="00D744F8"/>
    <w:rsid w:val="00D750C7"/>
    <w:rsid w:val="00D76835"/>
    <w:rsid w:val="00D77E7F"/>
    <w:rsid w:val="00D80380"/>
    <w:rsid w:val="00D809AB"/>
    <w:rsid w:val="00D816D8"/>
    <w:rsid w:val="00D90D64"/>
    <w:rsid w:val="00D91E7B"/>
    <w:rsid w:val="00D9272D"/>
    <w:rsid w:val="00D93199"/>
    <w:rsid w:val="00D9596D"/>
    <w:rsid w:val="00D97E72"/>
    <w:rsid w:val="00DA1F07"/>
    <w:rsid w:val="00DA2B0F"/>
    <w:rsid w:val="00DA35BA"/>
    <w:rsid w:val="00DA48B7"/>
    <w:rsid w:val="00DB093C"/>
    <w:rsid w:val="00DB1749"/>
    <w:rsid w:val="00DB2379"/>
    <w:rsid w:val="00DB7C49"/>
    <w:rsid w:val="00DC020E"/>
    <w:rsid w:val="00DC0240"/>
    <w:rsid w:val="00DC3FB7"/>
    <w:rsid w:val="00DC4174"/>
    <w:rsid w:val="00DC717F"/>
    <w:rsid w:val="00DD0EE8"/>
    <w:rsid w:val="00DD1D5C"/>
    <w:rsid w:val="00DD1FA1"/>
    <w:rsid w:val="00DD30CF"/>
    <w:rsid w:val="00DD31E2"/>
    <w:rsid w:val="00DD3417"/>
    <w:rsid w:val="00DD3527"/>
    <w:rsid w:val="00DD3B82"/>
    <w:rsid w:val="00DD4553"/>
    <w:rsid w:val="00DD5135"/>
    <w:rsid w:val="00DD60D4"/>
    <w:rsid w:val="00DD645C"/>
    <w:rsid w:val="00DD65D3"/>
    <w:rsid w:val="00DD6F4C"/>
    <w:rsid w:val="00DE2F73"/>
    <w:rsid w:val="00DE46A2"/>
    <w:rsid w:val="00DF00D0"/>
    <w:rsid w:val="00DF0F3C"/>
    <w:rsid w:val="00DF17E1"/>
    <w:rsid w:val="00DF2AA6"/>
    <w:rsid w:val="00DF3CDE"/>
    <w:rsid w:val="00DF4740"/>
    <w:rsid w:val="00DF78BF"/>
    <w:rsid w:val="00E00F9C"/>
    <w:rsid w:val="00E0200D"/>
    <w:rsid w:val="00E0264C"/>
    <w:rsid w:val="00E040E6"/>
    <w:rsid w:val="00E04F9B"/>
    <w:rsid w:val="00E07FCF"/>
    <w:rsid w:val="00E10F3A"/>
    <w:rsid w:val="00E11047"/>
    <w:rsid w:val="00E119F1"/>
    <w:rsid w:val="00E13CA4"/>
    <w:rsid w:val="00E14233"/>
    <w:rsid w:val="00E143AD"/>
    <w:rsid w:val="00E1517F"/>
    <w:rsid w:val="00E16625"/>
    <w:rsid w:val="00E17723"/>
    <w:rsid w:val="00E17FBC"/>
    <w:rsid w:val="00E201C7"/>
    <w:rsid w:val="00E20573"/>
    <w:rsid w:val="00E21A86"/>
    <w:rsid w:val="00E21D93"/>
    <w:rsid w:val="00E22B58"/>
    <w:rsid w:val="00E22FD1"/>
    <w:rsid w:val="00E239A5"/>
    <w:rsid w:val="00E25BD7"/>
    <w:rsid w:val="00E27023"/>
    <w:rsid w:val="00E27121"/>
    <w:rsid w:val="00E312FC"/>
    <w:rsid w:val="00E326B4"/>
    <w:rsid w:val="00E32966"/>
    <w:rsid w:val="00E33737"/>
    <w:rsid w:val="00E34B5F"/>
    <w:rsid w:val="00E352FC"/>
    <w:rsid w:val="00E3581B"/>
    <w:rsid w:val="00E35A2B"/>
    <w:rsid w:val="00E36AFF"/>
    <w:rsid w:val="00E37F5C"/>
    <w:rsid w:val="00E40EAA"/>
    <w:rsid w:val="00E416AE"/>
    <w:rsid w:val="00E43BB7"/>
    <w:rsid w:val="00E441E1"/>
    <w:rsid w:val="00E453DC"/>
    <w:rsid w:val="00E47024"/>
    <w:rsid w:val="00E50F1B"/>
    <w:rsid w:val="00E5231C"/>
    <w:rsid w:val="00E523C6"/>
    <w:rsid w:val="00E548C5"/>
    <w:rsid w:val="00E54CC5"/>
    <w:rsid w:val="00E5772A"/>
    <w:rsid w:val="00E57B4C"/>
    <w:rsid w:val="00E6051D"/>
    <w:rsid w:val="00E608A5"/>
    <w:rsid w:val="00E61772"/>
    <w:rsid w:val="00E61ACA"/>
    <w:rsid w:val="00E61D5B"/>
    <w:rsid w:val="00E6258E"/>
    <w:rsid w:val="00E62FA2"/>
    <w:rsid w:val="00E64CE8"/>
    <w:rsid w:val="00E663EE"/>
    <w:rsid w:val="00E66B26"/>
    <w:rsid w:val="00E678D5"/>
    <w:rsid w:val="00E701F0"/>
    <w:rsid w:val="00E77171"/>
    <w:rsid w:val="00E81DD0"/>
    <w:rsid w:val="00E87611"/>
    <w:rsid w:val="00E924C1"/>
    <w:rsid w:val="00E92B28"/>
    <w:rsid w:val="00E9363E"/>
    <w:rsid w:val="00E9555D"/>
    <w:rsid w:val="00E9609F"/>
    <w:rsid w:val="00E972B1"/>
    <w:rsid w:val="00EA0925"/>
    <w:rsid w:val="00EA4AFA"/>
    <w:rsid w:val="00EA4B79"/>
    <w:rsid w:val="00EA6CA6"/>
    <w:rsid w:val="00EA6EFC"/>
    <w:rsid w:val="00EA7B03"/>
    <w:rsid w:val="00EB17F6"/>
    <w:rsid w:val="00EB2AC1"/>
    <w:rsid w:val="00EB39D0"/>
    <w:rsid w:val="00EB3E35"/>
    <w:rsid w:val="00EB4CE8"/>
    <w:rsid w:val="00EB4D59"/>
    <w:rsid w:val="00EB6E1C"/>
    <w:rsid w:val="00EC0596"/>
    <w:rsid w:val="00EC21D7"/>
    <w:rsid w:val="00EC27C6"/>
    <w:rsid w:val="00EC49EC"/>
    <w:rsid w:val="00EC4E86"/>
    <w:rsid w:val="00ED1264"/>
    <w:rsid w:val="00ED140B"/>
    <w:rsid w:val="00ED451B"/>
    <w:rsid w:val="00ED56FB"/>
    <w:rsid w:val="00ED5AA1"/>
    <w:rsid w:val="00ED73D3"/>
    <w:rsid w:val="00ED7E90"/>
    <w:rsid w:val="00EE030B"/>
    <w:rsid w:val="00EE0AE6"/>
    <w:rsid w:val="00EE4CF7"/>
    <w:rsid w:val="00EE4F8C"/>
    <w:rsid w:val="00EE50E3"/>
    <w:rsid w:val="00EE72C4"/>
    <w:rsid w:val="00EE7E75"/>
    <w:rsid w:val="00EF2640"/>
    <w:rsid w:val="00EF3F69"/>
    <w:rsid w:val="00EF5D27"/>
    <w:rsid w:val="00EF78CF"/>
    <w:rsid w:val="00EF79CF"/>
    <w:rsid w:val="00F01440"/>
    <w:rsid w:val="00F01636"/>
    <w:rsid w:val="00F03E6C"/>
    <w:rsid w:val="00F10A99"/>
    <w:rsid w:val="00F11FA3"/>
    <w:rsid w:val="00F13C4A"/>
    <w:rsid w:val="00F13FB3"/>
    <w:rsid w:val="00F15107"/>
    <w:rsid w:val="00F153A2"/>
    <w:rsid w:val="00F15676"/>
    <w:rsid w:val="00F1720A"/>
    <w:rsid w:val="00F23950"/>
    <w:rsid w:val="00F25510"/>
    <w:rsid w:val="00F26AB3"/>
    <w:rsid w:val="00F26F3B"/>
    <w:rsid w:val="00F26FCC"/>
    <w:rsid w:val="00F30DE0"/>
    <w:rsid w:val="00F35F82"/>
    <w:rsid w:val="00F362D4"/>
    <w:rsid w:val="00F366A1"/>
    <w:rsid w:val="00F36EEC"/>
    <w:rsid w:val="00F37A3B"/>
    <w:rsid w:val="00F40219"/>
    <w:rsid w:val="00F40AD1"/>
    <w:rsid w:val="00F424E1"/>
    <w:rsid w:val="00F4406F"/>
    <w:rsid w:val="00F45563"/>
    <w:rsid w:val="00F45C81"/>
    <w:rsid w:val="00F47F4B"/>
    <w:rsid w:val="00F51AEC"/>
    <w:rsid w:val="00F5237D"/>
    <w:rsid w:val="00F54DB8"/>
    <w:rsid w:val="00F563C8"/>
    <w:rsid w:val="00F56CD3"/>
    <w:rsid w:val="00F57273"/>
    <w:rsid w:val="00F57CF2"/>
    <w:rsid w:val="00F60DB3"/>
    <w:rsid w:val="00F6270D"/>
    <w:rsid w:val="00F62B06"/>
    <w:rsid w:val="00F66777"/>
    <w:rsid w:val="00F712AF"/>
    <w:rsid w:val="00F71DB3"/>
    <w:rsid w:val="00F73DF0"/>
    <w:rsid w:val="00F75CBD"/>
    <w:rsid w:val="00F7625F"/>
    <w:rsid w:val="00F77097"/>
    <w:rsid w:val="00F81705"/>
    <w:rsid w:val="00F81C7D"/>
    <w:rsid w:val="00F81F5E"/>
    <w:rsid w:val="00F82297"/>
    <w:rsid w:val="00F83BCF"/>
    <w:rsid w:val="00F9195D"/>
    <w:rsid w:val="00F91B79"/>
    <w:rsid w:val="00F92790"/>
    <w:rsid w:val="00F94FC4"/>
    <w:rsid w:val="00F965CD"/>
    <w:rsid w:val="00F97432"/>
    <w:rsid w:val="00F97983"/>
    <w:rsid w:val="00F97F41"/>
    <w:rsid w:val="00FB07D6"/>
    <w:rsid w:val="00FB0DCB"/>
    <w:rsid w:val="00FB3195"/>
    <w:rsid w:val="00FB32F6"/>
    <w:rsid w:val="00FB6154"/>
    <w:rsid w:val="00FC2C1E"/>
    <w:rsid w:val="00FC4298"/>
    <w:rsid w:val="00FC437F"/>
    <w:rsid w:val="00FC4C74"/>
    <w:rsid w:val="00FC5CF7"/>
    <w:rsid w:val="00FC776C"/>
    <w:rsid w:val="00FC78CE"/>
    <w:rsid w:val="00FD1A45"/>
    <w:rsid w:val="00FD440A"/>
    <w:rsid w:val="00FD5AB3"/>
    <w:rsid w:val="00FD6908"/>
    <w:rsid w:val="00FD7435"/>
    <w:rsid w:val="00FE04F0"/>
    <w:rsid w:val="00FE0B19"/>
    <w:rsid w:val="00FE1AD3"/>
    <w:rsid w:val="00FE1AE3"/>
    <w:rsid w:val="00FE1EB8"/>
    <w:rsid w:val="00FE21B5"/>
    <w:rsid w:val="00FE3594"/>
    <w:rsid w:val="00FE605F"/>
    <w:rsid w:val="00FE71A5"/>
    <w:rsid w:val="00FF18B4"/>
    <w:rsid w:val="00FF1FBA"/>
    <w:rsid w:val="00FF2F0A"/>
    <w:rsid w:val="00FF35D3"/>
    <w:rsid w:val="00FF4A60"/>
    <w:rsid w:val="00FF4E27"/>
    <w:rsid w:val="00FF5B87"/>
    <w:rsid w:val="00FF5C7D"/>
    <w:rsid w:val="00FF5F76"/>
    <w:rsid w:val="00FF6FC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A8A92"/>
  <w15:chartTrackingRefBased/>
  <w15:docId w15:val="{43E77C9F-FE06-4708-B1C9-45863D6C9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564F0"/>
  </w:style>
  <w:style w:type="paragraph" w:styleId="Pealkiri1">
    <w:name w:val="heading 1"/>
    <w:basedOn w:val="Normaallaad"/>
    <w:next w:val="Normaallaad"/>
    <w:link w:val="Pealkiri1Mrk"/>
    <w:autoRedefine/>
    <w:uiPriority w:val="99"/>
    <w:qFormat/>
    <w:rsid w:val="00B52F78"/>
    <w:pPr>
      <w:keepNext/>
      <w:widowControl w:val="0"/>
      <w:numPr>
        <w:numId w:val="29"/>
      </w:numPr>
      <w:spacing w:before="240" w:after="60" w:line="240" w:lineRule="auto"/>
      <w:contextualSpacing/>
      <w:outlineLvl w:val="0"/>
    </w:pPr>
    <w:rPr>
      <w:rFonts w:cs="Arial"/>
      <w:b/>
      <w:bCs/>
      <w:kern w:val="32"/>
    </w:rPr>
  </w:style>
  <w:style w:type="paragraph" w:styleId="Pealkiri2">
    <w:name w:val="heading 2"/>
    <w:basedOn w:val="Normaallaad"/>
    <w:link w:val="Pealkiri2Mrk"/>
    <w:autoRedefine/>
    <w:uiPriority w:val="99"/>
    <w:qFormat/>
    <w:rsid w:val="00173DCD"/>
    <w:pPr>
      <w:keepNext/>
      <w:widowControl w:val="0"/>
      <w:numPr>
        <w:ilvl w:val="1"/>
        <w:numId w:val="29"/>
      </w:numPr>
      <w:spacing w:after="0" w:line="240" w:lineRule="auto"/>
      <w:contextualSpacing/>
      <w:jc w:val="both"/>
      <w:outlineLvl w:val="1"/>
    </w:pPr>
    <w:rPr>
      <w:rFonts w:cs="Arial"/>
      <w:lang w:eastAsia="et-EE"/>
    </w:rPr>
  </w:style>
  <w:style w:type="paragraph" w:styleId="Pealkiri3">
    <w:name w:val="heading 3"/>
    <w:basedOn w:val="Normaallaad"/>
    <w:next w:val="Pealkiri4"/>
    <w:link w:val="Pealkiri3Mrk"/>
    <w:autoRedefine/>
    <w:uiPriority w:val="99"/>
    <w:qFormat/>
    <w:rsid w:val="00FE1AE3"/>
    <w:pPr>
      <w:keepNext/>
      <w:widowControl w:val="0"/>
      <w:numPr>
        <w:ilvl w:val="2"/>
        <w:numId w:val="29"/>
      </w:numPr>
      <w:spacing w:after="0" w:line="240" w:lineRule="auto"/>
      <w:jc w:val="both"/>
      <w:outlineLvl w:val="2"/>
    </w:pPr>
    <w:rPr>
      <w:rFonts w:cs="Arial"/>
      <w:bCs/>
      <w:lang w:val="en-US"/>
    </w:rPr>
  </w:style>
  <w:style w:type="paragraph" w:styleId="Pealkiri4">
    <w:name w:val="heading 4"/>
    <w:basedOn w:val="Normaallaad"/>
    <w:next w:val="Normaallaad"/>
    <w:link w:val="Pealkiri4Mrk"/>
    <w:autoRedefine/>
    <w:uiPriority w:val="99"/>
    <w:qFormat/>
    <w:rsid w:val="00266F3B"/>
    <w:pPr>
      <w:keepNext/>
      <w:widowControl w:val="0"/>
      <w:numPr>
        <w:ilvl w:val="3"/>
        <w:numId w:val="29"/>
      </w:numPr>
      <w:spacing w:after="0" w:line="240" w:lineRule="auto"/>
      <w:ind w:left="1006"/>
      <w:jc w:val="both"/>
      <w:outlineLvl w:val="3"/>
    </w:pPr>
    <w:rPr>
      <w:rFonts w:cs="Arial"/>
      <w:bCs/>
    </w:rPr>
  </w:style>
  <w:style w:type="paragraph" w:styleId="Pealkiri5">
    <w:name w:val="heading 5"/>
    <w:basedOn w:val="Normaallaad"/>
    <w:next w:val="Normaallaad"/>
    <w:link w:val="Pealkiri5Mrk"/>
    <w:uiPriority w:val="9"/>
    <w:unhideWhenUsed/>
    <w:qFormat/>
    <w:rsid w:val="00FE0B19"/>
    <w:pPr>
      <w:widowControl w:val="0"/>
      <w:numPr>
        <w:ilvl w:val="4"/>
        <w:numId w:val="29"/>
      </w:numPr>
      <w:spacing w:after="0" w:line="240" w:lineRule="auto"/>
      <w:jc w:val="both"/>
      <w:outlineLvl w:val="4"/>
    </w:pPr>
    <w:rPr>
      <w:rFonts w:eastAsiaTheme="minorEastAsia"/>
      <w:lang w:val="en-US"/>
    </w:rPr>
  </w:style>
  <w:style w:type="paragraph" w:styleId="Pealkiri6">
    <w:name w:val="heading 6"/>
    <w:basedOn w:val="Normaallaad"/>
    <w:next w:val="Normaallaad"/>
    <w:link w:val="Pealkiri6Mrk"/>
    <w:uiPriority w:val="9"/>
    <w:unhideWhenUsed/>
    <w:qFormat/>
    <w:rsid w:val="00626F1B"/>
    <w:pPr>
      <w:numPr>
        <w:ilvl w:val="5"/>
        <w:numId w:val="29"/>
      </w:numPr>
      <w:spacing w:before="240" w:after="60" w:line="240" w:lineRule="auto"/>
      <w:outlineLvl w:val="5"/>
    </w:pPr>
    <w:rPr>
      <w:rFonts w:asciiTheme="minorHAnsi" w:eastAsiaTheme="minorEastAsia" w:hAnsiTheme="minorHAnsi"/>
      <w:b/>
      <w:bCs/>
      <w:sz w:val="22"/>
      <w:szCs w:val="22"/>
      <w:lang w:val="en-US"/>
    </w:rPr>
  </w:style>
  <w:style w:type="paragraph" w:styleId="Pealkiri7">
    <w:name w:val="heading 7"/>
    <w:basedOn w:val="Normaallaad"/>
    <w:next w:val="Normaallaad"/>
    <w:link w:val="Pealkiri7Mrk"/>
    <w:uiPriority w:val="9"/>
    <w:unhideWhenUsed/>
    <w:qFormat/>
    <w:rsid w:val="00626F1B"/>
    <w:pPr>
      <w:numPr>
        <w:ilvl w:val="6"/>
        <w:numId w:val="29"/>
      </w:numPr>
      <w:spacing w:before="240" w:after="60" w:line="240" w:lineRule="auto"/>
      <w:outlineLvl w:val="6"/>
    </w:pPr>
    <w:rPr>
      <w:rFonts w:asciiTheme="minorHAnsi" w:eastAsiaTheme="minorEastAsia" w:hAnsiTheme="minorHAnsi"/>
      <w:lang w:val="en-US"/>
    </w:rPr>
  </w:style>
  <w:style w:type="paragraph" w:styleId="Pealkiri8">
    <w:name w:val="heading 8"/>
    <w:basedOn w:val="Normaallaad"/>
    <w:next w:val="Normaallaad"/>
    <w:link w:val="Pealkiri8Mrk"/>
    <w:uiPriority w:val="9"/>
    <w:unhideWhenUsed/>
    <w:qFormat/>
    <w:rsid w:val="00626F1B"/>
    <w:pPr>
      <w:numPr>
        <w:ilvl w:val="7"/>
        <w:numId w:val="29"/>
      </w:numPr>
      <w:spacing w:before="240" w:after="60" w:line="240" w:lineRule="auto"/>
      <w:outlineLvl w:val="7"/>
    </w:pPr>
    <w:rPr>
      <w:rFonts w:asciiTheme="minorHAnsi" w:eastAsiaTheme="minorEastAsia" w:hAnsiTheme="minorHAnsi"/>
      <w:i/>
      <w:iCs/>
      <w:lang w:val="en-US"/>
    </w:rPr>
  </w:style>
  <w:style w:type="paragraph" w:styleId="Pealkiri9">
    <w:name w:val="heading 9"/>
    <w:basedOn w:val="Normaallaad"/>
    <w:next w:val="Normaallaad"/>
    <w:link w:val="Pealkiri9Mrk"/>
    <w:uiPriority w:val="9"/>
    <w:semiHidden/>
    <w:unhideWhenUsed/>
    <w:qFormat/>
    <w:rsid w:val="00626F1B"/>
    <w:pPr>
      <w:numPr>
        <w:ilvl w:val="8"/>
        <w:numId w:val="29"/>
      </w:numPr>
      <w:spacing w:before="240" w:after="60" w:line="240" w:lineRule="auto"/>
      <w:outlineLvl w:val="8"/>
    </w:pPr>
    <w:rPr>
      <w:rFonts w:asciiTheme="majorHAnsi" w:eastAsiaTheme="majorEastAsia" w:hAnsiTheme="majorHAnsi"/>
      <w:sz w:val="22"/>
      <w:szCs w:val="22"/>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rsid w:val="00B52F78"/>
    <w:rPr>
      <w:rFonts w:cs="Arial"/>
      <w:b/>
      <w:bCs/>
      <w:kern w:val="32"/>
    </w:rPr>
  </w:style>
  <w:style w:type="character" w:customStyle="1" w:styleId="Pealkiri3Mrk">
    <w:name w:val="Pealkiri 3 Märk"/>
    <w:basedOn w:val="Liguvaikefont"/>
    <w:link w:val="Pealkiri3"/>
    <w:uiPriority w:val="99"/>
    <w:rsid w:val="00FE1AE3"/>
    <w:rPr>
      <w:rFonts w:cs="Arial"/>
      <w:bCs/>
      <w:lang w:val="en-US"/>
    </w:rPr>
  </w:style>
  <w:style w:type="character" w:customStyle="1" w:styleId="Pealkiri4Mrk">
    <w:name w:val="Pealkiri 4 Märk"/>
    <w:basedOn w:val="Liguvaikefont"/>
    <w:link w:val="Pealkiri4"/>
    <w:uiPriority w:val="99"/>
    <w:rsid w:val="00266F3B"/>
    <w:rPr>
      <w:rFonts w:cs="Arial"/>
      <w:bCs/>
    </w:rPr>
  </w:style>
  <w:style w:type="character" w:customStyle="1" w:styleId="Pealkiri2Mrk">
    <w:name w:val="Pealkiri 2 Märk"/>
    <w:basedOn w:val="Liguvaikefont"/>
    <w:link w:val="Pealkiri2"/>
    <w:uiPriority w:val="99"/>
    <w:rsid w:val="00173DCD"/>
    <w:rPr>
      <w:rFonts w:cs="Arial"/>
      <w:lang w:eastAsia="et-EE"/>
    </w:rPr>
  </w:style>
  <w:style w:type="paragraph" w:styleId="Pis">
    <w:name w:val="header"/>
    <w:basedOn w:val="Normaallaad"/>
    <w:link w:val="PisMrk"/>
    <w:uiPriority w:val="99"/>
    <w:unhideWhenUsed/>
    <w:rsid w:val="0092670B"/>
    <w:pPr>
      <w:tabs>
        <w:tab w:val="center" w:pos="4536"/>
        <w:tab w:val="right" w:pos="9072"/>
      </w:tabs>
      <w:spacing w:after="0" w:line="240" w:lineRule="auto"/>
    </w:pPr>
  </w:style>
  <w:style w:type="character" w:customStyle="1" w:styleId="PisMrk">
    <w:name w:val="Päis Märk"/>
    <w:basedOn w:val="Liguvaikefont"/>
    <w:link w:val="Pis"/>
    <w:uiPriority w:val="99"/>
    <w:rsid w:val="0092670B"/>
  </w:style>
  <w:style w:type="paragraph" w:styleId="Jalus">
    <w:name w:val="footer"/>
    <w:basedOn w:val="Normaallaad"/>
    <w:link w:val="JalusMrk"/>
    <w:uiPriority w:val="99"/>
    <w:unhideWhenUsed/>
    <w:rsid w:val="0092670B"/>
    <w:pPr>
      <w:tabs>
        <w:tab w:val="center" w:pos="4536"/>
        <w:tab w:val="right" w:pos="9072"/>
      </w:tabs>
      <w:spacing w:after="0" w:line="240" w:lineRule="auto"/>
    </w:pPr>
  </w:style>
  <w:style w:type="character" w:customStyle="1" w:styleId="JalusMrk">
    <w:name w:val="Jalus Märk"/>
    <w:basedOn w:val="Liguvaikefont"/>
    <w:link w:val="Jalus"/>
    <w:uiPriority w:val="99"/>
    <w:rsid w:val="0092670B"/>
  </w:style>
  <w:style w:type="paragraph" w:styleId="Loendilik">
    <w:name w:val="List Paragraph"/>
    <w:aliases w:val="Mummuga loetelu,Numbered List,1st level - Bullet List Paragraph,Lettre d'introduction,Paragrafo elenco,Paragraph,Bullet EY,Bullet point 1,DE_HEADING3,Bullets,Medium Grid 1 - Accent 21,List Paragraph compact,Normal bullet 2"/>
    <w:basedOn w:val="Normaallaad"/>
    <w:link w:val="LoendilikMrk"/>
    <w:uiPriority w:val="34"/>
    <w:qFormat/>
    <w:rsid w:val="00626F1B"/>
    <w:pPr>
      <w:ind w:left="720"/>
      <w:contextualSpacing/>
    </w:pPr>
  </w:style>
  <w:style w:type="character" w:styleId="Kommentaariviide">
    <w:name w:val="annotation reference"/>
    <w:basedOn w:val="Liguvaikefont"/>
    <w:uiPriority w:val="99"/>
    <w:semiHidden/>
    <w:unhideWhenUsed/>
    <w:rsid w:val="002210BE"/>
    <w:rPr>
      <w:sz w:val="16"/>
      <w:szCs w:val="16"/>
    </w:rPr>
  </w:style>
  <w:style w:type="paragraph" w:styleId="Kommentaaritekst">
    <w:name w:val="annotation text"/>
    <w:basedOn w:val="Normaallaad"/>
    <w:link w:val="KommentaaritekstMrk"/>
    <w:uiPriority w:val="99"/>
    <w:unhideWhenUsed/>
    <w:rsid w:val="002210BE"/>
    <w:pPr>
      <w:spacing w:line="240" w:lineRule="auto"/>
    </w:pPr>
    <w:rPr>
      <w:sz w:val="20"/>
      <w:szCs w:val="20"/>
    </w:rPr>
  </w:style>
  <w:style w:type="character" w:customStyle="1" w:styleId="KommentaaritekstMrk">
    <w:name w:val="Kommentaari tekst Märk"/>
    <w:basedOn w:val="Liguvaikefont"/>
    <w:link w:val="Kommentaaritekst"/>
    <w:uiPriority w:val="99"/>
    <w:rsid w:val="002210BE"/>
    <w:rPr>
      <w:sz w:val="20"/>
      <w:szCs w:val="20"/>
    </w:rPr>
  </w:style>
  <w:style w:type="paragraph" w:styleId="Kommentaariteema">
    <w:name w:val="annotation subject"/>
    <w:basedOn w:val="Kommentaaritekst"/>
    <w:next w:val="Kommentaaritekst"/>
    <w:link w:val="KommentaariteemaMrk"/>
    <w:uiPriority w:val="99"/>
    <w:semiHidden/>
    <w:unhideWhenUsed/>
    <w:rsid w:val="002210BE"/>
    <w:rPr>
      <w:b/>
      <w:bCs/>
    </w:rPr>
  </w:style>
  <w:style w:type="character" w:customStyle="1" w:styleId="KommentaariteemaMrk">
    <w:name w:val="Kommentaari teema Märk"/>
    <w:basedOn w:val="KommentaaritekstMrk"/>
    <w:link w:val="Kommentaariteema"/>
    <w:uiPriority w:val="99"/>
    <w:semiHidden/>
    <w:rsid w:val="002210BE"/>
    <w:rPr>
      <w:b/>
      <w:bCs/>
      <w:sz w:val="20"/>
      <w:szCs w:val="20"/>
    </w:rPr>
  </w:style>
  <w:style w:type="character" w:customStyle="1" w:styleId="Pealkiri5Mrk">
    <w:name w:val="Pealkiri 5 Märk"/>
    <w:basedOn w:val="Liguvaikefont"/>
    <w:link w:val="Pealkiri5"/>
    <w:uiPriority w:val="9"/>
    <w:rsid w:val="00FE0B19"/>
    <w:rPr>
      <w:rFonts w:eastAsiaTheme="minorEastAsia"/>
      <w:lang w:val="en-US"/>
    </w:rPr>
  </w:style>
  <w:style w:type="character" w:customStyle="1" w:styleId="Pealkiri6Mrk">
    <w:name w:val="Pealkiri 6 Märk"/>
    <w:basedOn w:val="Liguvaikefont"/>
    <w:link w:val="Pealkiri6"/>
    <w:uiPriority w:val="9"/>
    <w:rsid w:val="00626F1B"/>
    <w:rPr>
      <w:rFonts w:asciiTheme="minorHAnsi" w:eastAsiaTheme="minorEastAsia" w:hAnsiTheme="minorHAnsi"/>
      <w:b/>
      <w:bCs/>
      <w:sz w:val="22"/>
      <w:szCs w:val="22"/>
      <w:lang w:val="en-US"/>
    </w:rPr>
  </w:style>
  <w:style w:type="character" w:customStyle="1" w:styleId="Pealkiri7Mrk">
    <w:name w:val="Pealkiri 7 Märk"/>
    <w:basedOn w:val="Liguvaikefont"/>
    <w:link w:val="Pealkiri7"/>
    <w:uiPriority w:val="9"/>
    <w:rsid w:val="00626F1B"/>
    <w:rPr>
      <w:rFonts w:asciiTheme="minorHAnsi" w:eastAsiaTheme="minorEastAsia" w:hAnsiTheme="minorHAnsi"/>
      <w:lang w:val="en-US"/>
    </w:rPr>
  </w:style>
  <w:style w:type="character" w:customStyle="1" w:styleId="Pealkiri8Mrk">
    <w:name w:val="Pealkiri 8 Märk"/>
    <w:basedOn w:val="Liguvaikefont"/>
    <w:link w:val="Pealkiri8"/>
    <w:uiPriority w:val="9"/>
    <w:rsid w:val="00626F1B"/>
    <w:rPr>
      <w:rFonts w:asciiTheme="minorHAnsi" w:eastAsiaTheme="minorEastAsia" w:hAnsiTheme="minorHAnsi"/>
      <w:i/>
      <w:iCs/>
      <w:lang w:val="en-US"/>
    </w:rPr>
  </w:style>
  <w:style w:type="character" w:customStyle="1" w:styleId="Pealkiri9Mrk">
    <w:name w:val="Pealkiri 9 Märk"/>
    <w:basedOn w:val="Liguvaikefont"/>
    <w:link w:val="Pealkiri9"/>
    <w:uiPriority w:val="9"/>
    <w:semiHidden/>
    <w:rsid w:val="00626F1B"/>
    <w:rPr>
      <w:rFonts w:asciiTheme="majorHAnsi" w:eastAsiaTheme="majorEastAsia" w:hAnsiTheme="majorHAnsi"/>
      <w:sz w:val="22"/>
      <w:szCs w:val="22"/>
      <w:lang w:val="en-US"/>
    </w:rPr>
  </w:style>
  <w:style w:type="table" w:styleId="Kontuurtabel">
    <w:name w:val="Table Grid"/>
    <w:basedOn w:val="Normaaltabel"/>
    <w:rsid w:val="00707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hik">
    <w:name w:val="tyhik"/>
    <w:basedOn w:val="Liguvaikefont"/>
    <w:rsid w:val="009E733C"/>
  </w:style>
  <w:style w:type="character" w:styleId="Hperlink">
    <w:name w:val="Hyperlink"/>
    <w:basedOn w:val="Liguvaikefont"/>
    <w:uiPriority w:val="99"/>
    <w:unhideWhenUsed/>
    <w:rsid w:val="00F4406F"/>
    <w:rPr>
      <w:color w:val="0000FF"/>
      <w:u w:val="single"/>
    </w:rPr>
  </w:style>
  <w:style w:type="paragraph" w:styleId="Redaktsioon">
    <w:name w:val="Revision"/>
    <w:hidden/>
    <w:uiPriority w:val="99"/>
    <w:semiHidden/>
    <w:rsid w:val="00DC0240"/>
    <w:pPr>
      <w:spacing w:after="0" w:line="240" w:lineRule="auto"/>
    </w:pPr>
  </w:style>
  <w:style w:type="paragraph" w:customStyle="1" w:styleId="vv">
    <w:name w:val="vv"/>
    <w:basedOn w:val="Normaallaad"/>
    <w:rsid w:val="00EA7B03"/>
    <w:pPr>
      <w:spacing w:before="100" w:beforeAutospacing="1" w:after="100" w:afterAutospacing="1" w:line="240" w:lineRule="auto"/>
    </w:pPr>
    <w:rPr>
      <w:rFonts w:eastAsia="Times New Roman"/>
      <w:lang w:eastAsia="et-EE"/>
    </w:rPr>
  </w:style>
  <w:style w:type="character" w:styleId="Kohatitetekst">
    <w:name w:val="Placeholder Text"/>
    <w:basedOn w:val="Liguvaikefont"/>
    <w:uiPriority w:val="99"/>
    <w:semiHidden/>
    <w:rsid w:val="00A26E4A"/>
    <w:rPr>
      <w:color w:val="808080"/>
    </w:rPr>
  </w:style>
  <w:style w:type="character" w:customStyle="1" w:styleId="LoendilikMrk">
    <w:name w:val="Loendi lõik Märk"/>
    <w:aliases w:val="Mummuga loetelu Märk,Numbered List Märk,1st level - Bullet List Paragraph Märk,Lettre d'introduction Märk,Paragrafo elenco Märk,Paragraph Märk,Bullet EY Märk,Bullet point 1 Märk,DE_HEADING3 Märk,Bullets Märk,List Paragraph compact Märk"/>
    <w:link w:val="Loendilik"/>
    <w:uiPriority w:val="34"/>
    <w:qFormat/>
    <w:locked/>
    <w:rsid w:val="00B27AB0"/>
  </w:style>
  <w:style w:type="paragraph" w:styleId="Tsitaat">
    <w:name w:val="Quote"/>
    <w:basedOn w:val="Normaallaad"/>
    <w:next w:val="Normaallaad"/>
    <w:link w:val="TsitaatMrk"/>
    <w:uiPriority w:val="29"/>
    <w:qFormat/>
    <w:rsid w:val="001D189E"/>
    <w:pPr>
      <w:spacing w:before="200"/>
      <w:ind w:left="864" w:right="864"/>
      <w:jc w:val="center"/>
    </w:pPr>
    <w:rPr>
      <w:i/>
      <w:iCs/>
      <w:color w:val="404040" w:themeColor="text1" w:themeTint="BF"/>
    </w:rPr>
  </w:style>
  <w:style w:type="character" w:customStyle="1" w:styleId="TsitaatMrk">
    <w:name w:val="Tsitaat Märk"/>
    <w:basedOn w:val="Liguvaikefont"/>
    <w:link w:val="Tsitaat"/>
    <w:uiPriority w:val="29"/>
    <w:rsid w:val="001D189E"/>
    <w:rPr>
      <w:i/>
      <w:iCs/>
      <w:color w:val="404040" w:themeColor="text1" w:themeTint="BF"/>
    </w:rPr>
  </w:style>
  <w:style w:type="paragraph" w:styleId="Allmrkusetekst">
    <w:name w:val="footnote text"/>
    <w:basedOn w:val="Normaallaad"/>
    <w:link w:val="AllmrkusetekstMrk"/>
    <w:uiPriority w:val="99"/>
    <w:semiHidden/>
    <w:unhideWhenUsed/>
    <w:rsid w:val="0059765F"/>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59765F"/>
    <w:rPr>
      <w:sz w:val="20"/>
      <w:szCs w:val="20"/>
    </w:rPr>
  </w:style>
  <w:style w:type="character" w:styleId="Allmrkuseviide">
    <w:name w:val="footnote reference"/>
    <w:basedOn w:val="Liguvaikefont"/>
    <w:uiPriority w:val="99"/>
    <w:semiHidden/>
    <w:unhideWhenUsed/>
    <w:rsid w:val="0059765F"/>
    <w:rPr>
      <w:vertAlign w:val="superscript"/>
    </w:rPr>
  </w:style>
  <w:style w:type="paragraph" w:customStyle="1" w:styleId="Default">
    <w:name w:val="Default"/>
    <w:rsid w:val="00E326B4"/>
    <w:pPr>
      <w:autoSpaceDE w:val="0"/>
      <w:autoSpaceDN w:val="0"/>
      <w:adjustRightInd w:val="0"/>
      <w:spacing w:after="0" w:line="240" w:lineRule="auto"/>
    </w:pPr>
    <w:rPr>
      <w:rFonts w:ascii="Calibri" w:hAnsi="Calibri" w:cs="Calibri"/>
      <w:color w:val="000000"/>
    </w:rPr>
  </w:style>
  <w:style w:type="paragraph" w:styleId="Lpumrkusetekst">
    <w:name w:val="endnote text"/>
    <w:basedOn w:val="Normaallaad"/>
    <w:link w:val="LpumrkusetekstMrk"/>
    <w:uiPriority w:val="99"/>
    <w:semiHidden/>
    <w:unhideWhenUsed/>
    <w:rsid w:val="00A6766F"/>
    <w:pPr>
      <w:spacing w:after="0" w:line="240" w:lineRule="auto"/>
    </w:pPr>
    <w:rPr>
      <w:sz w:val="20"/>
      <w:szCs w:val="20"/>
    </w:rPr>
  </w:style>
  <w:style w:type="character" w:customStyle="1" w:styleId="LpumrkusetekstMrk">
    <w:name w:val="Lõpumärkuse tekst Märk"/>
    <w:basedOn w:val="Liguvaikefont"/>
    <w:link w:val="Lpumrkusetekst"/>
    <w:uiPriority w:val="99"/>
    <w:semiHidden/>
    <w:rsid w:val="00A6766F"/>
    <w:rPr>
      <w:sz w:val="20"/>
      <w:szCs w:val="20"/>
    </w:rPr>
  </w:style>
  <w:style w:type="character" w:styleId="Lpumrkuseviide">
    <w:name w:val="endnote reference"/>
    <w:basedOn w:val="Liguvaikefont"/>
    <w:uiPriority w:val="99"/>
    <w:semiHidden/>
    <w:unhideWhenUsed/>
    <w:rsid w:val="00A6766F"/>
    <w:rPr>
      <w:vertAlign w:val="superscript"/>
    </w:rPr>
  </w:style>
  <w:style w:type="character" w:customStyle="1" w:styleId="Lahendamatamainimine1">
    <w:name w:val="Lahendamata mainimine1"/>
    <w:basedOn w:val="Liguvaikefont"/>
    <w:uiPriority w:val="99"/>
    <w:semiHidden/>
    <w:unhideWhenUsed/>
    <w:rsid w:val="00A27B7B"/>
    <w:rPr>
      <w:color w:val="605E5C"/>
      <w:shd w:val="clear" w:color="auto" w:fill="E1DFDD"/>
    </w:rPr>
  </w:style>
  <w:style w:type="character" w:styleId="Tugev">
    <w:name w:val="Strong"/>
    <w:basedOn w:val="Liguvaikefont"/>
    <w:uiPriority w:val="22"/>
    <w:qFormat/>
    <w:rsid w:val="00E14233"/>
    <w:rPr>
      <w:b/>
      <w:bCs/>
    </w:rPr>
  </w:style>
  <w:style w:type="paragraph" w:styleId="Normaallaadveeb">
    <w:name w:val="Normal (Web)"/>
    <w:basedOn w:val="Normaallaad"/>
    <w:uiPriority w:val="99"/>
    <w:semiHidden/>
    <w:unhideWhenUsed/>
    <w:rsid w:val="000B7EF1"/>
    <w:pPr>
      <w:spacing w:before="100" w:beforeAutospacing="1" w:after="100" w:afterAutospacing="1" w:line="240" w:lineRule="auto"/>
    </w:pPr>
    <w:rPr>
      <w:rFonts w:eastAsia="Times New Roman"/>
      <w:lang w:eastAsia="et-EE"/>
    </w:rPr>
  </w:style>
  <w:style w:type="character" w:customStyle="1" w:styleId="mm">
    <w:name w:val="mm"/>
    <w:basedOn w:val="Liguvaikefont"/>
    <w:rsid w:val="001F08A7"/>
  </w:style>
  <w:style w:type="character" w:customStyle="1" w:styleId="m">
    <w:name w:val="m"/>
    <w:basedOn w:val="Liguvaikefont"/>
    <w:rsid w:val="0081284D"/>
  </w:style>
  <w:style w:type="character" w:customStyle="1" w:styleId="leitudss">
    <w:name w:val="leitud_ss"/>
    <w:basedOn w:val="Liguvaikefont"/>
    <w:rsid w:val="0081284D"/>
  </w:style>
  <w:style w:type="character" w:customStyle="1" w:styleId="tpxtnr">
    <w:name w:val="tp_x_tnr"/>
    <w:basedOn w:val="Liguvaikefont"/>
    <w:rsid w:val="0081284D"/>
  </w:style>
  <w:style w:type="character" w:customStyle="1" w:styleId="d">
    <w:name w:val="d"/>
    <w:basedOn w:val="Liguvaikefont"/>
    <w:rsid w:val="0081284D"/>
  </w:style>
  <w:style w:type="character" w:customStyle="1" w:styleId="ki">
    <w:name w:val="ki"/>
    <w:basedOn w:val="Liguvaikefont"/>
    <w:rsid w:val="0081284D"/>
  </w:style>
  <w:style w:type="character" w:customStyle="1" w:styleId="a">
    <w:name w:val="a"/>
    <w:basedOn w:val="Liguvaikefont"/>
    <w:rsid w:val="0081284D"/>
  </w:style>
  <w:style w:type="character" w:customStyle="1" w:styleId="poh">
    <w:name w:val="poh"/>
    <w:basedOn w:val="Liguvaikefont"/>
    <w:rsid w:val="0081284D"/>
  </w:style>
  <w:style w:type="character" w:customStyle="1" w:styleId="tt">
    <w:name w:val="tt"/>
    <w:basedOn w:val="Liguvaikefont"/>
    <w:rsid w:val="0081284D"/>
  </w:style>
  <w:style w:type="character" w:styleId="Klastatudhperlink">
    <w:name w:val="FollowedHyperlink"/>
    <w:basedOn w:val="Liguvaikefont"/>
    <w:uiPriority w:val="99"/>
    <w:semiHidden/>
    <w:unhideWhenUsed/>
    <w:rsid w:val="00DA2B0F"/>
    <w:rPr>
      <w:color w:val="954F72" w:themeColor="followedHyperlink"/>
      <w:u w:val="single"/>
    </w:rPr>
  </w:style>
  <w:style w:type="character" w:customStyle="1" w:styleId="cf01">
    <w:name w:val="cf01"/>
    <w:basedOn w:val="Liguvaikefont"/>
    <w:rsid w:val="00CB1BF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659">
      <w:bodyDiv w:val="1"/>
      <w:marLeft w:val="0"/>
      <w:marRight w:val="0"/>
      <w:marTop w:val="0"/>
      <w:marBottom w:val="0"/>
      <w:divBdr>
        <w:top w:val="none" w:sz="0" w:space="0" w:color="auto"/>
        <w:left w:val="none" w:sz="0" w:space="0" w:color="auto"/>
        <w:bottom w:val="none" w:sz="0" w:space="0" w:color="auto"/>
        <w:right w:val="none" w:sz="0" w:space="0" w:color="auto"/>
      </w:divBdr>
    </w:div>
    <w:div w:id="376666074">
      <w:bodyDiv w:val="1"/>
      <w:marLeft w:val="0"/>
      <w:marRight w:val="0"/>
      <w:marTop w:val="0"/>
      <w:marBottom w:val="0"/>
      <w:divBdr>
        <w:top w:val="none" w:sz="0" w:space="0" w:color="auto"/>
        <w:left w:val="none" w:sz="0" w:space="0" w:color="auto"/>
        <w:bottom w:val="none" w:sz="0" w:space="0" w:color="auto"/>
        <w:right w:val="none" w:sz="0" w:space="0" w:color="auto"/>
      </w:divBdr>
    </w:div>
    <w:div w:id="519978487">
      <w:bodyDiv w:val="1"/>
      <w:marLeft w:val="0"/>
      <w:marRight w:val="0"/>
      <w:marTop w:val="0"/>
      <w:marBottom w:val="0"/>
      <w:divBdr>
        <w:top w:val="none" w:sz="0" w:space="0" w:color="auto"/>
        <w:left w:val="none" w:sz="0" w:space="0" w:color="auto"/>
        <w:bottom w:val="none" w:sz="0" w:space="0" w:color="auto"/>
        <w:right w:val="none" w:sz="0" w:space="0" w:color="auto"/>
      </w:divBdr>
    </w:div>
    <w:div w:id="757481651">
      <w:bodyDiv w:val="1"/>
      <w:marLeft w:val="0"/>
      <w:marRight w:val="0"/>
      <w:marTop w:val="0"/>
      <w:marBottom w:val="0"/>
      <w:divBdr>
        <w:top w:val="none" w:sz="0" w:space="0" w:color="auto"/>
        <w:left w:val="none" w:sz="0" w:space="0" w:color="auto"/>
        <w:bottom w:val="none" w:sz="0" w:space="0" w:color="auto"/>
        <w:right w:val="none" w:sz="0" w:space="0" w:color="auto"/>
      </w:divBdr>
    </w:div>
    <w:div w:id="978342599">
      <w:bodyDiv w:val="1"/>
      <w:marLeft w:val="0"/>
      <w:marRight w:val="0"/>
      <w:marTop w:val="0"/>
      <w:marBottom w:val="0"/>
      <w:divBdr>
        <w:top w:val="none" w:sz="0" w:space="0" w:color="auto"/>
        <w:left w:val="none" w:sz="0" w:space="0" w:color="auto"/>
        <w:bottom w:val="none" w:sz="0" w:space="0" w:color="auto"/>
        <w:right w:val="none" w:sz="0" w:space="0" w:color="auto"/>
      </w:divBdr>
    </w:div>
    <w:div w:id="1325206676">
      <w:bodyDiv w:val="1"/>
      <w:marLeft w:val="0"/>
      <w:marRight w:val="0"/>
      <w:marTop w:val="0"/>
      <w:marBottom w:val="0"/>
      <w:divBdr>
        <w:top w:val="none" w:sz="0" w:space="0" w:color="auto"/>
        <w:left w:val="none" w:sz="0" w:space="0" w:color="auto"/>
        <w:bottom w:val="none" w:sz="0" w:space="0" w:color="auto"/>
        <w:right w:val="none" w:sz="0" w:space="0" w:color="auto"/>
      </w:divBdr>
    </w:div>
    <w:div w:id="1339039365">
      <w:bodyDiv w:val="1"/>
      <w:marLeft w:val="0"/>
      <w:marRight w:val="0"/>
      <w:marTop w:val="0"/>
      <w:marBottom w:val="0"/>
      <w:divBdr>
        <w:top w:val="none" w:sz="0" w:space="0" w:color="auto"/>
        <w:left w:val="none" w:sz="0" w:space="0" w:color="auto"/>
        <w:bottom w:val="none" w:sz="0" w:space="0" w:color="auto"/>
        <w:right w:val="none" w:sz="0" w:space="0" w:color="auto"/>
      </w:divBdr>
    </w:div>
    <w:div w:id="1507742753">
      <w:bodyDiv w:val="1"/>
      <w:marLeft w:val="0"/>
      <w:marRight w:val="0"/>
      <w:marTop w:val="0"/>
      <w:marBottom w:val="0"/>
      <w:divBdr>
        <w:top w:val="none" w:sz="0" w:space="0" w:color="auto"/>
        <w:left w:val="none" w:sz="0" w:space="0" w:color="auto"/>
        <w:bottom w:val="none" w:sz="0" w:space="0" w:color="auto"/>
        <w:right w:val="none" w:sz="0" w:space="0" w:color="auto"/>
      </w:divBdr>
    </w:div>
    <w:div w:id="197494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kul.ee/siduseesti2030" TargetMode="External"/><Relationship Id="rId1" Type="http://schemas.openxmlformats.org/officeDocument/2006/relationships/hyperlink" Target="https://valitsus.ee/strateegia-eesti-2035-arengukavad-ja-planeering/strateegia"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DB345-E405-4E4E-97DD-431444911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10</Pages>
  <Words>3585</Words>
  <Characters>20797</Characters>
  <Application>Microsoft Office Word</Application>
  <DocSecurity>0</DocSecurity>
  <Lines>173</Lines>
  <Paragraphs>48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 Tilk</dc:creator>
  <cp:keywords/>
  <dc:description/>
  <cp:lastModifiedBy>Margit Tilk</cp:lastModifiedBy>
  <cp:revision>140</cp:revision>
  <cp:lastPrinted>2024-10-08T12:32:00Z</cp:lastPrinted>
  <dcterms:created xsi:type="dcterms:W3CDTF">2024-09-11T08:59:00Z</dcterms:created>
  <dcterms:modified xsi:type="dcterms:W3CDTF">2024-12-20T08:48:00Z</dcterms:modified>
</cp:coreProperties>
</file>